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AB51F7" w:rsidRDefault="00C4385C" w:rsidP="00752E1C">
      <w:pPr>
        <w:tabs>
          <w:tab w:val="left" w:pos="2023"/>
        </w:tabs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1A4AF4A1" w14:textId="083461BE" w:rsidR="00E0255D" w:rsidRPr="00AB51F7" w:rsidRDefault="00E0255D" w:rsidP="00E0255D">
      <w:pPr>
        <w:jc w:val="center"/>
        <w:rPr>
          <w:rFonts w:ascii="Calibri" w:hAnsi="Calibri" w:cs="Calibri"/>
          <w:b/>
          <w:sz w:val="28"/>
          <w:szCs w:val="28"/>
        </w:rPr>
      </w:pPr>
      <w:r w:rsidRPr="00AB51F7">
        <w:rPr>
          <w:rFonts w:ascii="Calibri" w:hAnsi="Calibri" w:cs="Calibri"/>
          <w:b/>
          <w:sz w:val="28"/>
          <w:szCs w:val="28"/>
        </w:rPr>
        <w:t>FI</w:t>
      </w:r>
      <w:r w:rsidR="00C4385C" w:rsidRPr="00AB51F7">
        <w:rPr>
          <w:rFonts w:ascii="Calibri" w:hAnsi="Calibri" w:cs="Calibri"/>
          <w:b/>
          <w:sz w:val="28"/>
          <w:szCs w:val="28"/>
        </w:rPr>
        <w:t>Ș</w:t>
      </w:r>
      <w:r w:rsidRPr="00AB51F7">
        <w:rPr>
          <w:rFonts w:ascii="Calibri" w:hAnsi="Calibri" w:cs="Calibri"/>
          <w:b/>
          <w:sz w:val="28"/>
          <w:szCs w:val="28"/>
        </w:rPr>
        <w:t>A DISCIPLINEI</w:t>
      </w:r>
    </w:p>
    <w:p w14:paraId="16E71824" w14:textId="77777777" w:rsidR="00C4385C" w:rsidRPr="00AB51F7" w:rsidRDefault="00C4385C" w:rsidP="00C4385C">
      <w:pPr>
        <w:rPr>
          <w:rFonts w:ascii="Calibri" w:hAnsi="Calibri" w:cs="Calibri"/>
          <w:b/>
          <w:sz w:val="20"/>
          <w:szCs w:val="20"/>
        </w:rPr>
      </w:pPr>
    </w:p>
    <w:p w14:paraId="48979124" w14:textId="77777777" w:rsidR="00E0255D" w:rsidRPr="00AB51F7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Date despre program</w:t>
      </w:r>
    </w:p>
    <w:tbl>
      <w:tblPr>
        <w:tblW w:w="515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5"/>
        <w:gridCol w:w="6069"/>
      </w:tblGrid>
      <w:tr w:rsidR="00E0255D" w:rsidRPr="00AB51F7" w14:paraId="5F99CFA1" w14:textId="77777777" w:rsidTr="009D5AB2">
        <w:tc>
          <w:tcPr>
            <w:tcW w:w="1850" w:type="pct"/>
            <w:vAlign w:val="center"/>
          </w:tcPr>
          <w:p w14:paraId="79A7E4F2" w14:textId="4F0814BD" w:rsidR="00E0255D" w:rsidRPr="00AB51F7" w:rsidRDefault="00E0255D" w:rsidP="00E0255D">
            <w:pPr>
              <w:pStyle w:val="Frspaiere"/>
              <w:numPr>
                <w:ilvl w:val="1"/>
                <w:numId w:val="27"/>
              </w:numPr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Institu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ia de învă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ământ superior</w:t>
            </w:r>
          </w:p>
        </w:tc>
        <w:tc>
          <w:tcPr>
            <w:tcW w:w="3150" w:type="pct"/>
            <w:vAlign w:val="center"/>
          </w:tcPr>
          <w:p w14:paraId="39071412" w14:textId="10F2A9D5" w:rsidR="00E0255D" w:rsidRPr="009D5AB2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D5AB2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 w:rsidRPr="009D5AB2">
              <w:rPr>
                <w:rFonts w:asciiTheme="minorHAnsi" w:hAnsiTheme="minorHAnsi" w:cstheme="minorHAnsi"/>
                <w:lang w:val="ro-RO"/>
              </w:rPr>
              <w:t>ș</w:t>
            </w:r>
            <w:r w:rsidRPr="009D5AB2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9D5AB2" w:rsidRPr="00AB51F7" w14:paraId="09F1F378" w14:textId="77777777" w:rsidTr="009D5AB2">
        <w:tc>
          <w:tcPr>
            <w:tcW w:w="1850" w:type="pct"/>
            <w:vAlign w:val="center"/>
          </w:tcPr>
          <w:p w14:paraId="2ABF2C34" w14:textId="77777777" w:rsidR="009D5AB2" w:rsidRPr="00AB51F7" w:rsidRDefault="009D5AB2" w:rsidP="009D5AB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1.2 Facultatea / Departamentul</w:t>
            </w:r>
          </w:p>
        </w:tc>
        <w:tc>
          <w:tcPr>
            <w:tcW w:w="3150" w:type="pct"/>
            <w:vAlign w:val="center"/>
          </w:tcPr>
          <w:p w14:paraId="030FA322" w14:textId="294ACE2C" w:rsidR="009D5AB2" w:rsidRPr="009D5AB2" w:rsidRDefault="009D5AB2" w:rsidP="009D5AB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D5AB2">
              <w:rPr>
                <w:rFonts w:asciiTheme="minorHAnsi" w:hAnsiTheme="minorHAnsi" w:cstheme="minorHAnsi"/>
                <w:lang w:val="ro-RO"/>
              </w:rPr>
              <w:t xml:space="preserve">Sociologie </w:t>
            </w:r>
            <w:proofErr w:type="spellStart"/>
            <w:r w:rsidRPr="009D5AB2">
              <w:rPr>
                <w:rFonts w:asciiTheme="minorHAnsi" w:hAnsiTheme="minorHAnsi" w:cstheme="minorHAnsi"/>
                <w:lang w:val="ro-RO"/>
              </w:rPr>
              <w:t>şi</w:t>
            </w:r>
            <w:proofErr w:type="spellEnd"/>
            <w:r w:rsidRPr="009D5AB2">
              <w:rPr>
                <w:rFonts w:asciiTheme="minorHAnsi" w:hAnsiTheme="minorHAnsi" w:cstheme="minorHAnsi"/>
                <w:lang w:val="ro-RO"/>
              </w:rPr>
              <w:t xml:space="preserve"> Asistență Socială</w:t>
            </w:r>
          </w:p>
        </w:tc>
      </w:tr>
      <w:tr w:rsidR="009D5AB2" w:rsidRPr="00AB51F7" w14:paraId="3E2ECC7F" w14:textId="77777777" w:rsidTr="009D5AB2">
        <w:tc>
          <w:tcPr>
            <w:tcW w:w="1850" w:type="pct"/>
            <w:vAlign w:val="center"/>
          </w:tcPr>
          <w:p w14:paraId="22160B34" w14:textId="77777777" w:rsidR="009D5AB2" w:rsidRPr="00AB51F7" w:rsidRDefault="009D5AB2" w:rsidP="009D5AB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1.3 Departamentul</w:t>
            </w:r>
          </w:p>
        </w:tc>
        <w:tc>
          <w:tcPr>
            <w:tcW w:w="3150" w:type="pct"/>
            <w:vAlign w:val="center"/>
          </w:tcPr>
          <w:p w14:paraId="42B894BC" w14:textId="3BA98D00" w:rsidR="009D5AB2" w:rsidRPr="009D5AB2" w:rsidRDefault="009D5AB2" w:rsidP="009D5AB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D5AB2"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9D5AB2" w:rsidRPr="00AB51F7" w14:paraId="38E2999E" w14:textId="77777777" w:rsidTr="009D5AB2">
        <w:tc>
          <w:tcPr>
            <w:tcW w:w="1850" w:type="pct"/>
            <w:vAlign w:val="center"/>
          </w:tcPr>
          <w:p w14:paraId="2467FE5A" w14:textId="77777777" w:rsidR="009D5AB2" w:rsidRPr="00AB51F7" w:rsidRDefault="009D5AB2" w:rsidP="009D5AB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1.4 Domeniul de studii</w:t>
            </w:r>
          </w:p>
        </w:tc>
        <w:tc>
          <w:tcPr>
            <w:tcW w:w="3150" w:type="pct"/>
            <w:vAlign w:val="center"/>
          </w:tcPr>
          <w:p w14:paraId="449590D8" w14:textId="729314EF" w:rsidR="009D5AB2" w:rsidRPr="009D5AB2" w:rsidRDefault="009D5AB2" w:rsidP="009D5AB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D5AB2"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9D5AB2" w:rsidRPr="00AB51F7" w14:paraId="7410FBFB" w14:textId="77777777" w:rsidTr="009D5AB2">
        <w:tc>
          <w:tcPr>
            <w:tcW w:w="1850" w:type="pct"/>
            <w:vAlign w:val="center"/>
          </w:tcPr>
          <w:p w14:paraId="682C127F" w14:textId="77777777" w:rsidR="009D5AB2" w:rsidRPr="00AB51F7" w:rsidRDefault="009D5AB2" w:rsidP="009D5AB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1.5 Ciclul de studii</w:t>
            </w:r>
          </w:p>
        </w:tc>
        <w:tc>
          <w:tcPr>
            <w:tcW w:w="3150" w:type="pct"/>
            <w:vAlign w:val="center"/>
          </w:tcPr>
          <w:p w14:paraId="7DCE72A4" w14:textId="0F971029" w:rsidR="009D5AB2" w:rsidRPr="009D5AB2" w:rsidRDefault="009D5AB2" w:rsidP="009D5AB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D5AB2">
              <w:rPr>
                <w:rFonts w:asciiTheme="minorHAnsi" w:hAnsiTheme="minorHAnsi" w:cstheme="minorHAnsi"/>
                <w:lang w:val="ro-RO"/>
              </w:rPr>
              <w:t>Masterat</w:t>
            </w:r>
          </w:p>
        </w:tc>
      </w:tr>
      <w:tr w:rsidR="009D5AB2" w:rsidRPr="00AB51F7" w14:paraId="0BC03568" w14:textId="77777777" w:rsidTr="009D5AB2">
        <w:tc>
          <w:tcPr>
            <w:tcW w:w="1850" w:type="pct"/>
            <w:vAlign w:val="center"/>
          </w:tcPr>
          <w:p w14:paraId="4A9FB682" w14:textId="77777777" w:rsidR="009D5AB2" w:rsidRPr="00AB51F7" w:rsidRDefault="009D5AB2" w:rsidP="009D5AB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1.6 Programul de studii / Calificarea</w:t>
            </w:r>
          </w:p>
        </w:tc>
        <w:tc>
          <w:tcPr>
            <w:tcW w:w="3150" w:type="pct"/>
            <w:vAlign w:val="center"/>
          </w:tcPr>
          <w:p w14:paraId="6C296979" w14:textId="3153A7C6" w:rsidR="009D5AB2" w:rsidRPr="009D5AB2" w:rsidRDefault="009D5AB2" w:rsidP="009D5AB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D5AB2">
              <w:rPr>
                <w:rFonts w:asciiTheme="minorHAnsi" w:hAnsiTheme="minorHAnsi" w:cstheme="minorHAnsi"/>
                <w:lang w:val="ro-RO"/>
              </w:rPr>
              <w:t>Managementul Resurselor Umane în Administrarea Organizațiilor</w:t>
            </w:r>
          </w:p>
        </w:tc>
      </w:tr>
    </w:tbl>
    <w:p w14:paraId="67CD805D" w14:textId="77777777" w:rsidR="00E0255D" w:rsidRPr="00AB51F7" w:rsidRDefault="00E0255D" w:rsidP="00E0255D">
      <w:pPr>
        <w:rPr>
          <w:rFonts w:ascii="Calibri" w:hAnsi="Calibri" w:cs="Calibri"/>
          <w:sz w:val="20"/>
          <w:szCs w:val="20"/>
        </w:rPr>
      </w:pPr>
    </w:p>
    <w:p w14:paraId="51C268B8" w14:textId="77777777" w:rsidR="00E0255D" w:rsidRPr="00AB51F7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9D5AB2" w:rsidRPr="00AB51F7" w14:paraId="4013AFE0" w14:textId="77777777" w:rsidTr="00E0255D">
        <w:tc>
          <w:tcPr>
            <w:tcW w:w="3828" w:type="dxa"/>
            <w:gridSpan w:val="3"/>
          </w:tcPr>
          <w:p w14:paraId="2A383B21" w14:textId="77777777" w:rsidR="009D5AB2" w:rsidRPr="00AB51F7" w:rsidRDefault="009D5AB2" w:rsidP="009D5AB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32956074" w:rsidR="009D5AB2" w:rsidRPr="009D5AB2" w:rsidRDefault="009D5AB2" w:rsidP="009D5AB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9D5AB2">
              <w:rPr>
                <w:rFonts w:asciiTheme="minorHAnsi" w:hAnsiTheme="minorHAnsi" w:cstheme="minorHAnsi"/>
                <w:b/>
                <w:lang w:val="ro-RO"/>
              </w:rPr>
              <w:t>Conflict si negociere</w:t>
            </w:r>
          </w:p>
        </w:tc>
      </w:tr>
      <w:tr w:rsidR="009D5AB2" w:rsidRPr="00AB51F7" w14:paraId="4A61B8F8" w14:textId="77777777" w:rsidTr="00E0255D">
        <w:tc>
          <w:tcPr>
            <w:tcW w:w="3828" w:type="dxa"/>
            <w:gridSpan w:val="3"/>
          </w:tcPr>
          <w:p w14:paraId="4E4EEC75" w14:textId="73DF2536" w:rsidR="009D5AB2" w:rsidRPr="00AB51F7" w:rsidRDefault="009D5AB2" w:rsidP="009D5AB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2.2 Titularul activităților de curs</w:t>
            </w:r>
          </w:p>
        </w:tc>
        <w:tc>
          <w:tcPr>
            <w:tcW w:w="5561" w:type="dxa"/>
            <w:gridSpan w:val="6"/>
          </w:tcPr>
          <w:p w14:paraId="44D2144D" w14:textId="27A2043B" w:rsidR="009D5AB2" w:rsidRPr="009D5AB2" w:rsidRDefault="009D5AB2" w:rsidP="009D5AB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9D5AB2">
              <w:rPr>
                <w:rFonts w:asciiTheme="minorHAnsi" w:hAnsiTheme="minorHAnsi" w:cstheme="minorHAnsi"/>
                <w:lang w:val="ro-RO"/>
              </w:rPr>
              <w:t>Conf.univ.dr</w:t>
            </w:r>
            <w:proofErr w:type="spellEnd"/>
            <w:r w:rsidRPr="009D5AB2">
              <w:rPr>
                <w:rFonts w:asciiTheme="minorHAnsi" w:hAnsiTheme="minorHAnsi" w:cstheme="minorHAnsi"/>
                <w:lang w:val="ro-RO"/>
              </w:rPr>
              <w:t>. Delia Nadolu</w:t>
            </w:r>
          </w:p>
        </w:tc>
      </w:tr>
      <w:tr w:rsidR="009D5AB2" w:rsidRPr="00AB51F7" w14:paraId="18E3C119" w14:textId="77777777" w:rsidTr="00E0255D">
        <w:tc>
          <w:tcPr>
            <w:tcW w:w="3828" w:type="dxa"/>
            <w:gridSpan w:val="3"/>
          </w:tcPr>
          <w:p w14:paraId="2201EA9F" w14:textId="67BBE6E9" w:rsidR="009D5AB2" w:rsidRPr="00AB51F7" w:rsidRDefault="009D5AB2" w:rsidP="009D5AB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2.3 Titularul activităților de seminar</w:t>
            </w:r>
          </w:p>
        </w:tc>
        <w:tc>
          <w:tcPr>
            <w:tcW w:w="5561" w:type="dxa"/>
            <w:gridSpan w:val="6"/>
          </w:tcPr>
          <w:p w14:paraId="3E929826" w14:textId="0D8906DB" w:rsidR="009D5AB2" w:rsidRPr="009D5AB2" w:rsidRDefault="009D5AB2" w:rsidP="009D5AB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9D5AB2">
              <w:rPr>
                <w:rFonts w:asciiTheme="minorHAnsi" w:hAnsiTheme="minorHAnsi" w:cstheme="minorHAnsi"/>
                <w:lang w:val="ro-RO"/>
              </w:rPr>
              <w:t>Conf.univ.dr</w:t>
            </w:r>
            <w:proofErr w:type="spellEnd"/>
            <w:r w:rsidRPr="009D5AB2">
              <w:rPr>
                <w:rFonts w:asciiTheme="minorHAnsi" w:hAnsiTheme="minorHAnsi" w:cstheme="minorHAnsi"/>
                <w:lang w:val="ro-RO"/>
              </w:rPr>
              <w:t>. Delia Nadolu</w:t>
            </w:r>
          </w:p>
        </w:tc>
      </w:tr>
      <w:tr w:rsidR="009D5AB2" w:rsidRPr="00AB51F7" w14:paraId="2D85BC83" w14:textId="77777777" w:rsidTr="00C4385C">
        <w:tc>
          <w:tcPr>
            <w:tcW w:w="1843" w:type="dxa"/>
          </w:tcPr>
          <w:p w14:paraId="7473A702" w14:textId="77777777" w:rsidR="009D5AB2" w:rsidRPr="00AB51F7" w:rsidRDefault="009D5AB2" w:rsidP="009D5AB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2DA36F7E" w:rsidR="009D5AB2" w:rsidRPr="00AB51F7" w:rsidRDefault="009D5AB2" w:rsidP="009D5AB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14:paraId="50554F01" w14:textId="77777777" w:rsidR="009D5AB2" w:rsidRPr="00AB51F7" w:rsidRDefault="009D5AB2" w:rsidP="009D5AB2">
            <w:pPr>
              <w:pStyle w:val="Frspaiere"/>
              <w:spacing w:line="276" w:lineRule="auto"/>
              <w:ind w:right="-108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7A4DD33B" w:rsidR="009D5AB2" w:rsidRPr="00AB51F7" w:rsidRDefault="009D5AB2" w:rsidP="009D5AB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II</w:t>
            </w:r>
          </w:p>
        </w:tc>
        <w:tc>
          <w:tcPr>
            <w:tcW w:w="1651" w:type="dxa"/>
          </w:tcPr>
          <w:p w14:paraId="5BBCC7D4" w14:textId="427A378A" w:rsidR="009D5AB2" w:rsidRPr="00AB51F7" w:rsidRDefault="009D5AB2" w:rsidP="009D5AB2">
            <w:pPr>
              <w:pStyle w:val="Frspaiere"/>
              <w:spacing w:line="276" w:lineRule="auto"/>
              <w:ind w:right="-108" w:hanging="108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 xml:space="preserve"> 2.6 Tipul de evaluare</w:t>
            </w:r>
          </w:p>
        </w:tc>
        <w:tc>
          <w:tcPr>
            <w:tcW w:w="591" w:type="dxa"/>
          </w:tcPr>
          <w:p w14:paraId="744AFE62" w14:textId="693BE180" w:rsidR="009D5AB2" w:rsidRPr="00AB51F7" w:rsidRDefault="009D5AB2" w:rsidP="009D5AB2">
            <w:pPr>
              <w:pStyle w:val="Frspaiere"/>
              <w:spacing w:line="276" w:lineRule="auto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E</w:t>
            </w:r>
            <w:r w:rsidRPr="00AB51F7">
              <w:rPr>
                <w:rStyle w:val="Referinnotdesubsol"/>
                <w:rFonts w:cs="Calibri"/>
                <w:lang w:val="ro-RO"/>
              </w:rPr>
              <w:footnoteReference w:id="1"/>
            </w:r>
          </w:p>
        </w:tc>
        <w:tc>
          <w:tcPr>
            <w:tcW w:w="1839" w:type="dxa"/>
          </w:tcPr>
          <w:p w14:paraId="7C0DE4CB" w14:textId="77777777" w:rsidR="009D5AB2" w:rsidRPr="00AB51F7" w:rsidRDefault="009D5AB2" w:rsidP="009D5AB2">
            <w:pPr>
              <w:pStyle w:val="Frspaiere"/>
              <w:spacing w:line="276" w:lineRule="auto"/>
              <w:ind w:right="-108" w:hanging="42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17701585" w:rsidR="009D5AB2" w:rsidRPr="00AB51F7" w:rsidRDefault="009D5AB2" w:rsidP="009D5AB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proofErr w:type="spellStart"/>
            <w:r>
              <w:rPr>
                <w:rFonts w:cs="Calibri"/>
                <w:lang w:val="ro-RO"/>
              </w:rPr>
              <w:t>Ob</w:t>
            </w:r>
            <w:proofErr w:type="spellEnd"/>
          </w:p>
        </w:tc>
      </w:tr>
    </w:tbl>
    <w:p w14:paraId="7E9DBA76" w14:textId="77777777" w:rsidR="00E0255D" w:rsidRPr="00AB51F7" w:rsidRDefault="00E0255D" w:rsidP="00E0255D">
      <w:pPr>
        <w:rPr>
          <w:rFonts w:ascii="Calibri" w:hAnsi="Calibri" w:cs="Calibri"/>
          <w:sz w:val="20"/>
          <w:szCs w:val="20"/>
        </w:rPr>
      </w:pPr>
    </w:p>
    <w:p w14:paraId="04074F03" w14:textId="2409E91D" w:rsidR="00E0255D" w:rsidRPr="00AB51F7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Timpul total estimat (ore pe semestru al activită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ilor didactice)</w:t>
      </w:r>
      <w:r w:rsidR="00A80917" w:rsidRPr="00AB51F7">
        <w:rPr>
          <w:rStyle w:val="Referinnotdesubsol"/>
          <w:rFonts w:ascii="Calibri" w:hAnsi="Calibri" w:cs="Calibri"/>
          <w:b/>
        </w:rPr>
        <w:footnoteReference w:id="2"/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AB51F7" w14:paraId="5B1575BC" w14:textId="77777777" w:rsidTr="00802D13">
        <w:tc>
          <w:tcPr>
            <w:tcW w:w="3681" w:type="dxa"/>
          </w:tcPr>
          <w:p w14:paraId="276EC93C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41F63FB8" w:rsidR="00E0255D" w:rsidRPr="00AB51F7" w:rsidRDefault="009D5AB2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1EF75CB9" w:rsidR="00E0255D" w:rsidRPr="00AB51F7" w:rsidRDefault="009D5AB2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</w:t>
            </w:r>
          </w:p>
        </w:tc>
        <w:tc>
          <w:tcPr>
            <w:tcW w:w="2315" w:type="dxa"/>
          </w:tcPr>
          <w:p w14:paraId="5905DEA2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12ACE7BF" w:rsidR="00E0255D" w:rsidRPr="00AB51F7" w:rsidRDefault="009D5AB2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</w:t>
            </w:r>
          </w:p>
        </w:tc>
      </w:tr>
      <w:tr w:rsidR="00E0255D" w:rsidRPr="00AB51F7" w14:paraId="1D8AE468" w14:textId="77777777" w:rsidTr="00802D13">
        <w:tc>
          <w:tcPr>
            <w:tcW w:w="3681" w:type="dxa"/>
          </w:tcPr>
          <w:p w14:paraId="61528410" w14:textId="5D90CB72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3.4 Total ore din planul de învă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465E054D" w:rsidR="00E0255D" w:rsidRPr="00AB51F7" w:rsidRDefault="009D5AB2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28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7448B7BC" w:rsidR="00E0255D" w:rsidRPr="00AB51F7" w:rsidRDefault="009D5AB2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14</w:t>
            </w:r>
          </w:p>
        </w:tc>
        <w:tc>
          <w:tcPr>
            <w:tcW w:w="2315" w:type="dxa"/>
          </w:tcPr>
          <w:p w14:paraId="77313924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18F84075" w:rsidR="00E0255D" w:rsidRPr="00AB51F7" w:rsidRDefault="009D5AB2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14</w:t>
            </w:r>
          </w:p>
        </w:tc>
      </w:tr>
      <w:tr w:rsidR="00E0255D" w:rsidRPr="00AB51F7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Distribu</w:t>
            </w:r>
            <w:r w:rsidR="00C4385C" w:rsidRPr="00AB51F7">
              <w:rPr>
                <w:rFonts w:cs="Calibri"/>
                <w:bCs/>
                <w:lang w:val="ro-RO"/>
              </w:rPr>
              <w:t>ț</w:t>
            </w:r>
            <w:r w:rsidRPr="00AB51F7">
              <w:rPr>
                <w:rFonts w:cs="Calibr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ore</w:t>
            </w:r>
          </w:p>
        </w:tc>
      </w:tr>
      <w:tr w:rsidR="00E0255D" w:rsidRPr="00AB51F7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 xml:space="preserve">Studiul după manual, suport de curs, bibliografie 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i noti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53397378" w:rsidR="00E0255D" w:rsidRPr="00AB51F7" w:rsidRDefault="007A7DEE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30</w:t>
            </w:r>
          </w:p>
        </w:tc>
      </w:tr>
      <w:tr w:rsidR="00E0255D" w:rsidRPr="00AB51F7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7E4279A7" w:rsidR="00E0255D" w:rsidRPr="00AB51F7" w:rsidRDefault="007A7DEE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30</w:t>
            </w:r>
          </w:p>
        </w:tc>
      </w:tr>
      <w:tr w:rsidR="00E0255D" w:rsidRPr="00AB51F7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Pregătire seminar</w:t>
            </w:r>
            <w:r w:rsidR="00C4385C" w:rsidRPr="00AB51F7">
              <w:rPr>
                <w:rFonts w:cs="Calibri"/>
                <w:lang w:val="ro-RO"/>
              </w:rPr>
              <w:t>e</w:t>
            </w:r>
            <w:r w:rsidRPr="00AB51F7">
              <w:rPr>
                <w:rFonts w:cs="Calibri"/>
                <w:lang w:val="ro-RO"/>
              </w:rPr>
              <w:t xml:space="preserve"> / laboratoare, teme, referate, portofolii 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14D1A87B" w:rsidR="00E0255D" w:rsidRPr="00AB51F7" w:rsidRDefault="007A7DEE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30</w:t>
            </w:r>
          </w:p>
        </w:tc>
      </w:tr>
      <w:tr w:rsidR="00E0255D" w:rsidRPr="00AB51F7" w14:paraId="595F83C1" w14:textId="77777777" w:rsidTr="00802D13">
        <w:tc>
          <w:tcPr>
            <w:tcW w:w="8831" w:type="dxa"/>
            <w:gridSpan w:val="6"/>
          </w:tcPr>
          <w:p w14:paraId="15821CE7" w14:textId="06F41715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Tutorat</w:t>
            </w:r>
          </w:p>
        </w:tc>
        <w:tc>
          <w:tcPr>
            <w:tcW w:w="524" w:type="dxa"/>
          </w:tcPr>
          <w:p w14:paraId="3B9B8C3B" w14:textId="0FED833B" w:rsidR="00E0255D" w:rsidRPr="00AB51F7" w:rsidRDefault="007A7DEE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5</w:t>
            </w:r>
          </w:p>
        </w:tc>
      </w:tr>
      <w:tr w:rsidR="00E0255D" w:rsidRPr="00AB51F7" w14:paraId="513FE437" w14:textId="77777777" w:rsidTr="00802D13">
        <w:tc>
          <w:tcPr>
            <w:tcW w:w="8831" w:type="dxa"/>
            <w:gridSpan w:val="6"/>
          </w:tcPr>
          <w:p w14:paraId="404E7887" w14:textId="1EBAEC31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Examinări</w:t>
            </w:r>
            <w:r w:rsidR="00A80917" w:rsidRPr="00AB51F7">
              <w:rPr>
                <w:rStyle w:val="Referinnotdesubsol"/>
                <w:rFonts w:cs="Calibri"/>
                <w:lang w:val="ro-RO"/>
              </w:rPr>
              <w:footnoteReference w:id="3"/>
            </w:r>
          </w:p>
        </w:tc>
        <w:tc>
          <w:tcPr>
            <w:tcW w:w="524" w:type="dxa"/>
          </w:tcPr>
          <w:p w14:paraId="1D729EB9" w14:textId="4F0B8D52" w:rsidR="00E0255D" w:rsidRPr="00AB51F7" w:rsidRDefault="009D5AB2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</w:t>
            </w:r>
          </w:p>
        </w:tc>
      </w:tr>
      <w:tr w:rsidR="00E0255D" w:rsidRPr="00AB51F7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Alte activită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6D76A474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</w:p>
        </w:tc>
      </w:tr>
      <w:tr w:rsidR="00E0255D" w:rsidRPr="00AB51F7" w14:paraId="601F6F7A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79894EA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395AD20" w14:textId="36B9711C" w:rsidR="00E0255D" w:rsidRPr="00AB51F7" w:rsidRDefault="007A7DEE" w:rsidP="00080D22">
            <w:pPr>
              <w:pStyle w:val="Frspaiere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95</w:t>
            </w:r>
          </w:p>
        </w:tc>
      </w:tr>
      <w:tr w:rsidR="00E0255D" w:rsidRPr="00AB51F7" w14:paraId="0E0E0360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310486C5" w14:textId="319470E6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3.8 Total ore pe semestru</w:t>
            </w:r>
            <w:r w:rsidR="00A80917" w:rsidRPr="00AB51F7">
              <w:rPr>
                <w:rStyle w:val="Referinnotdesubsol"/>
                <w:rFonts w:cs="Calibri"/>
                <w:bCs/>
                <w:lang w:val="ro-RO"/>
              </w:rPr>
              <w:footnoteReference w:id="4"/>
            </w:r>
          </w:p>
        </w:tc>
        <w:tc>
          <w:tcPr>
            <w:tcW w:w="721" w:type="dxa"/>
            <w:gridSpan w:val="2"/>
          </w:tcPr>
          <w:p w14:paraId="15B2F92D" w14:textId="2918D4D3" w:rsidR="00E0255D" w:rsidRPr="00AB51F7" w:rsidRDefault="009D5AB2" w:rsidP="00080D22">
            <w:pPr>
              <w:pStyle w:val="Frspaiere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1</w:t>
            </w:r>
            <w:r w:rsidR="007A7DEE">
              <w:rPr>
                <w:rFonts w:cs="Calibri"/>
                <w:b/>
                <w:lang w:val="ro-RO"/>
              </w:rPr>
              <w:t>25</w:t>
            </w:r>
          </w:p>
        </w:tc>
      </w:tr>
      <w:tr w:rsidR="00E0255D" w:rsidRPr="00AB51F7" w14:paraId="0543F2FB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AA42D0D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76127E3" w14:textId="58474E12" w:rsidR="00E0255D" w:rsidRPr="00AB51F7" w:rsidRDefault="007A7DEE" w:rsidP="00080D22">
            <w:pPr>
              <w:pStyle w:val="Frspaiere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5</w:t>
            </w:r>
          </w:p>
        </w:tc>
      </w:tr>
    </w:tbl>
    <w:p w14:paraId="2AFF86C3" w14:textId="77777777" w:rsidR="00C4385C" w:rsidRPr="00AB51F7" w:rsidRDefault="00C4385C" w:rsidP="00C4385C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1ACD2D8D" w14:textId="30F46626" w:rsidR="00E0255D" w:rsidRPr="00AB51F7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Precondi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AB51F7" w14:paraId="3623956B" w14:textId="77777777" w:rsidTr="00E0255D">
        <w:tc>
          <w:tcPr>
            <w:tcW w:w="1985" w:type="dxa"/>
          </w:tcPr>
          <w:p w14:paraId="4C592DB3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77777777" w:rsidR="00E0255D" w:rsidRPr="00AB51F7" w:rsidRDefault="00E0255D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cs="Calibri"/>
                <w:lang w:val="ro-RO"/>
              </w:rPr>
            </w:pPr>
          </w:p>
        </w:tc>
      </w:tr>
      <w:tr w:rsidR="00E0255D" w:rsidRPr="00AB51F7" w14:paraId="0C24B7B9" w14:textId="77777777" w:rsidTr="00E0255D">
        <w:tc>
          <w:tcPr>
            <w:tcW w:w="1985" w:type="dxa"/>
          </w:tcPr>
          <w:p w14:paraId="0E27F819" w14:textId="140AA50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4.2 de competen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77777777" w:rsidR="00E0255D" w:rsidRPr="00AB51F7" w:rsidRDefault="00E0255D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cs="Calibri"/>
                <w:lang w:val="ro-RO"/>
              </w:rPr>
            </w:pPr>
          </w:p>
        </w:tc>
      </w:tr>
    </w:tbl>
    <w:p w14:paraId="778D68D2" w14:textId="77777777" w:rsidR="009073AF" w:rsidRPr="00AB51F7" w:rsidRDefault="009073AF" w:rsidP="00C4385C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77A8EEB9" w14:textId="2BBDA049" w:rsidR="00E0255D" w:rsidRPr="00AB51F7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Condi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9"/>
        <w:gridCol w:w="6950"/>
      </w:tblGrid>
      <w:tr w:rsidR="00E0255D" w:rsidRPr="00AB51F7" w14:paraId="2C5D8739" w14:textId="77777777" w:rsidTr="009D5AB2">
        <w:tc>
          <w:tcPr>
            <w:tcW w:w="2439" w:type="dxa"/>
          </w:tcPr>
          <w:p w14:paraId="26DB2A17" w14:textId="6D1C436D" w:rsidR="00E0255D" w:rsidRPr="00AB51F7" w:rsidRDefault="00E0255D" w:rsidP="00080D22">
            <w:pPr>
              <w:pStyle w:val="Frspaiere"/>
              <w:spacing w:line="360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5.1 de desfă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 xml:space="preserve">urare a </w:t>
            </w:r>
            <w:r w:rsidR="00802D13" w:rsidRPr="00AB51F7">
              <w:rPr>
                <w:rFonts w:cs="Calibri"/>
                <w:lang w:val="ro-RO"/>
              </w:rPr>
              <w:t>cursului</w:t>
            </w:r>
            <w:r w:rsidR="009D5AB2">
              <w:rPr>
                <w:rFonts w:cs="Calibri"/>
                <w:lang w:val="ro-RO"/>
              </w:rPr>
              <w:t xml:space="preserve"> și seminarului</w:t>
            </w:r>
          </w:p>
        </w:tc>
        <w:tc>
          <w:tcPr>
            <w:tcW w:w="6950" w:type="dxa"/>
          </w:tcPr>
          <w:p w14:paraId="3EBDAE9E" w14:textId="77777777" w:rsidR="009D5AB2" w:rsidRPr="009D5AB2" w:rsidRDefault="009D5AB2" w:rsidP="009D5AB2">
            <w:pPr>
              <w:pStyle w:val="Frspaiere"/>
              <w:jc w:val="both"/>
              <w:rPr>
                <w:rFonts w:cs="Calibri"/>
                <w:lang w:val="ro-RO"/>
              </w:rPr>
            </w:pPr>
            <w:r w:rsidRPr="009D5AB2">
              <w:rPr>
                <w:rFonts w:cs="Calibri"/>
                <w:lang w:val="ro-RO"/>
              </w:rPr>
              <w:t xml:space="preserve">Toate materialele pentru această disciplină vor fi încărcate pe </w:t>
            </w:r>
            <w:proofErr w:type="spellStart"/>
            <w:r w:rsidRPr="009D5AB2">
              <w:rPr>
                <w:rFonts w:cs="Calibri"/>
                <w:lang w:val="ro-RO"/>
              </w:rPr>
              <w:t>Classroom</w:t>
            </w:r>
            <w:proofErr w:type="spellEnd"/>
            <w:r w:rsidRPr="009D5AB2">
              <w:rPr>
                <w:rFonts w:cs="Calibri"/>
                <w:lang w:val="ro-RO"/>
              </w:rPr>
              <w:t xml:space="preserve">. Studenții trebuie să se înregistreze pe Google </w:t>
            </w:r>
            <w:proofErr w:type="spellStart"/>
            <w:r w:rsidRPr="009D5AB2">
              <w:rPr>
                <w:rFonts w:cs="Calibri"/>
                <w:lang w:val="ro-RO"/>
              </w:rPr>
              <w:t>Classroom</w:t>
            </w:r>
            <w:proofErr w:type="spellEnd"/>
            <w:r w:rsidRPr="009D5AB2">
              <w:rPr>
                <w:rFonts w:cs="Calibri"/>
                <w:lang w:val="ro-RO"/>
              </w:rPr>
              <w:t xml:space="preserve">, utilizând codul pentru curs, cu adresa de email instituțională. Codul pentru cursul de Conflict și negociere este: </w:t>
            </w:r>
            <w:proofErr w:type="spellStart"/>
            <w:r w:rsidRPr="009D5AB2">
              <w:rPr>
                <w:rFonts w:cs="Calibri"/>
                <w:lang w:val="ro-RO"/>
              </w:rPr>
              <w:t>yrcfbwbs</w:t>
            </w:r>
            <w:proofErr w:type="spellEnd"/>
          </w:p>
          <w:p w14:paraId="0DE0A976" w14:textId="77777777" w:rsidR="009D5AB2" w:rsidRPr="009D5AB2" w:rsidRDefault="009D5AB2" w:rsidP="009D5AB2">
            <w:pPr>
              <w:pStyle w:val="Frspaiere"/>
              <w:jc w:val="both"/>
              <w:rPr>
                <w:rFonts w:cs="Calibri"/>
                <w:lang w:val="ro-RO"/>
              </w:rPr>
            </w:pPr>
          </w:p>
          <w:p w14:paraId="6ADFF241" w14:textId="15AD6AD9" w:rsidR="00E0255D" w:rsidRPr="00AB51F7" w:rsidRDefault="009D5AB2" w:rsidP="009D5AB2">
            <w:pPr>
              <w:pStyle w:val="Frspaiere"/>
              <w:jc w:val="both"/>
              <w:rPr>
                <w:rFonts w:cs="Calibri"/>
                <w:lang w:val="ro-RO"/>
              </w:rPr>
            </w:pPr>
            <w:r w:rsidRPr="009D5AB2">
              <w:rPr>
                <w:rFonts w:cs="Calibri"/>
                <w:lang w:val="ro-RO"/>
              </w:rPr>
              <w:t xml:space="preserve">De asemenea, tot pe Google </w:t>
            </w:r>
            <w:proofErr w:type="spellStart"/>
            <w:r w:rsidRPr="009D5AB2">
              <w:rPr>
                <w:rFonts w:cs="Calibri"/>
                <w:lang w:val="ro-RO"/>
              </w:rPr>
              <w:t>Classroom</w:t>
            </w:r>
            <w:proofErr w:type="spellEnd"/>
            <w:r w:rsidRPr="009D5AB2">
              <w:rPr>
                <w:rFonts w:cs="Calibri"/>
                <w:lang w:val="ro-RO"/>
              </w:rPr>
              <w:t>, la codul indicat, va avea loc comunicarea permanentă cu studenții, asignarea sarcinilor de seminar, feedback-</w:t>
            </w:r>
            <w:proofErr w:type="spellStart"/>
            <w:r w:rsidRPr="009D5AB2">
              <w:rPr>
                <w:rFonts w:cs="Calibri"/>
                <w:lang w:val="ro-RO"/>
              </w:rPr>
              <w:t>ul</w:t>
            </w:r>
            <w:proofErr w:type="spellEnd"/>
            <w:r w:rsidRPr="009D5AB2">
              <w:rPr>
                <w:rFonts w:cs="Calibri"/>
                <w:lang w:val="ro-RO"/>
              </w:rPr>
              <w:t xml:space="preserve"> în urma evaluării diferitelor sarcini.</w:t>
            </w:r>
          </w:p>
        </w:tc>
      </w:tr>
    </w:tbl>
    <w:p w14:paraId="7FA3D1A2" w14:textId="77777777" w:rsidR="00802D13" w:rsidRPr="00AB51F7" w:rsidRDefault="00802D13" w:rsidP="00802D13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3E28F80F" w14:textId="6466CB5E" w:rsidR="00E0255D" w:rsidRPr="00AB51F7" w:rsidRDefault="00C94D71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9D5AB2" w:rsidRPr="00AB51F7" w14:paraId="76694619" w14:textId="77777777" w:rsidTr="009D5AB2">
        <w:trPr>
          <w:cantSplit/>
          <w:trHeight w:val="666"/>
        </w:trPr>
        <w:tc>
          <w:tcPr>
            <w:tcW w:w="1699" w:type="dxa"/>
            <w:vAlign w:val="center"/>
          </w:tcPr>
          <w:p w14:paraId="44C132C9" w14:textId="30F06B5E" w:rsidR="009D5AB2" w:rsidRPr="00AB51F7" w:rsidRDefault="009D5AB2" w:rsidP="009D5AB2">
            <w:pPr>
              <w:pStyle w:val="Frspaiere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Cunoștințe</w:t>
            </w:r>
          </w:p>
        </w:tc>
        <w:tc>
          <w:tcPr>
            <w:tcW w:w="7690" w:type="dxa"/>
          </w:tcPr>
          <w:p w14:paraId="10D97C77" w14:textId="573834E7" w:rsidR="009D5AB2" w:rsidRPr="009D5AB2" w:rsidRDefault="009D5AB2" w:rsidP="009D5AB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D5A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Cunoștințe referitoare la indicatori specifici domeniului resurselor umane (indici și rate de fluctuație, scor motivațional, indicatori de performanță, etc)</w:t>
            </w:r>
          </w:p>
          <w:p w14:paraId="0D77451E" w14:textId="1B70F373" w:rsidR="009D5AB2" w:rsidRPr="009D5AB2" w:rsidRDefault="009D5AB2" w:rsidP="009D5AB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D5AB2"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GB"/>
              </w:rPr>
              <w:t>Cunoștințe privind dezvoltarea și managementul carierei profesionale.</w:t>
            </w:r>
          </w:p>
        </w:tc>
      </w:tr>
      <w:tr w:rsidR="009D5AB2" w:rsidRPr="00AB51F7" w14:paraId="5C767D8B" w14:textId="77777777" w:rsidTr="009D5AB2">
        <w:trPr>
          <w:cantSplit/>
          <w:trHeight w:val="676"/>
        </w:trPr>
        <w:tc>
          <w:tcPr>
            <w:tcW w:w="1699" w:type="dxa"/>
            <w:vAlign w:val="center"/>
          </w:tcPr>
          <w:p w14:paraId="3FB3257E" w14:textId="3557E77D" w:rsidR="009D5AB2" w:rsidRPr="00AB51F7" w:rsidRDefault="009D5AB2" w:rsidP="009D5AB2">
            <w:pPr>
              <w:pStyle w:val="Frspaiere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Abilități</w:t>
            </w:r>
          </w:p>
        </w:tc>
        <w:tc>
          <w:tcPr>
            <w:tcW w:w="7690" w:type="dxa"/>
          </w:tcPr>
          <w:p w14:paraId="0AB6FDE1" w14:textId="22526F9D" w:rsidR="009D5AB2" w:rsidRPr="009D5AB2" w:rsidRDefault="009D5AB2" w:rsidP="009D5AB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5AB2">
              <w:rPr>
                <w:rFonts w:asciiTheme="minorHAnsi" w:hAnsiTheme="minorHAnsi" w:cstheme="minorHAnsi"/>
                <w:sz w:val="20"/>
                <w:szCs w:val="20"/>
              </w:rPr>
              <w:t>Abilitatea de a aplica cunoștințele și instrumente de diagnoză și analiză a unor contexte organizaționale specific</w:t>
            </w:r>
          </w:p>
          <w:p w14:paraId="1B1CF760" w14:textId="4F90B0E0" w:rsidR="009D5AB2" w:rsidRPr="009D5AB2" w:rsidRDefault="009D5AB2" w:rsidP="009D5AB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5AB2">
              <w:rPr>
                <w:rFonts w:asciiTheme="minorHAnsi" w:hAnsiTheme="minorHAnsi" w:cstheme="minorHAnsi"/>
                <w:sz w:val="20"/>
                <w:szCs w:val="20"/>
              </w:rPr>
              <w:t>Abilitatea de a analiza date și informații din medii organizaționale diferite</w:t>
            </w:r>
          </w:p>
        </w:tc>
      </w:tr>
      <w:tr w:rsidR="009D5AB2" w:rsidRPr="00AB51F7" w14:paraId="71758DDA" w14:textId="77777777" w:rsidTr="009D5AB2">
        <w:trPr>
          <w:cantSplit/>
          <w:trHeight w:val="984"/>
        </w:trPr>
        <w:tc>
          <w:tcPr>
            <w:tcW w:w="1699" w:type="dxa"/>
            <w:vAlign w:val="center"/>
          </w:tcPr>
          <w:p w14:paraId="5F0C5E8F" w14:textId="26E93F51" w:rsidR="009D5AB2" w:rsidRPr="00AB51F7" w:rsidRDefault="009D5AB2" w:rsidP="009D5AB2">
            <w:pPr>
              <w:pStyle w:val="Frspaiere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Responsabilitate și autonomie</w:t>
            </w:r>
          </w:p>
        </w:tc>
        <w:tc>
          <w:tcPr>
            <w:tcW w:w="7690" w:type="dxa"/>
          </w:tcPr>
          <w:p w14:paraId="26437CE5" w14:textId="7CDE6F37" w:rsidR="009D5AB2" w:rsidRPr="009D5AB2" w:rsidRDefault="009D5AB2" w:rsidP="009D5AB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5AB2">
              <w:rPr>
                <w:rFonts w:asciiTheme="minorHAnsi" w:hAnsiTheme="minorHAnsi" w:cstheme="minorHAnsi"/>
                <w:sz w:val="20"/>
                <w:szCs w:val="20"/>
              </w:rPr>
              <w:t>Abilitatea de a participa și coordona activități de echipă și grupuri profesionale interdepartamentale și trans departamental</w:t>
            </w:r>
          </w:p>
          <w:p w14:paraId="6FA16C1B" w14:textId="7C5D9C1E" w:rsidR="009D5AB2" w:rsidRPr="009D5AB2" w:rsidRDefault="009D5AB2" w:rsidP="009D5AB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5AB2">
              <w:rPr>
                <w:rFonts w:asciiTheme="minorHAnsi" w:hAnsiTheme="minorHAnsi" w:cstheme="minorHAnsi"/>
                <w:sz w:val="20"/>
                <w:szCs w:val="20"/>
              </w:rPr>
              <w:t>Capacitatea de a aborda responsabil și a se adapta la schimbările ce pot apărea în organizații</w:t>
            </w:r>
          </w:p>
        </w:tc>
      </w:tr>
    </w:tbl>
    <w:p w14:paraId="50140982" w14:textId="77777777" w:rsidR="00C4385C" w:rsidRPr="00AB51F7" w:rsidRDefault="00C4385C" w:rsidP="002644F8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63A74C04" w14:textId="6D386162" w:rsidR="00E0255D" w:rsidRPr="00AB51F7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inuturi</w:t>
      </w:r>
    </w:p>
    <w:p w14:paraId="4F6054A8" w14:textId="2861C50E" w:rsidR="00AB51F7" w:rsidRPr="00AB51F7" w:rsidRDefault="00AB51F7" w:rsidP="00AB51F7">
      <w:pPr>
        <w:spacing w:line="276" w:lineRule="auto"/>
        <w:ind w:left="714"/>
        <w:jc w:val="both"/>
        <w:rPr>
          <w:rFonts w:ascii="Calibri" w:hAnsi="Calibri" w:cs="Calibri"/>
          <w:bCs/>
          <w:sz w:val="22"/>
          <w:szCs w:val="22"/>
        </w:rPr>
      </w:pPr>
      <w:r w:rsidRPr="00AB51F7">
        <w:rPr>
          <w:rFonts w:ascii="Calibri" w:hAnsi="Calibri" w:cs="Calibri"/>
          <w:bCs/>
          <w:sz w:val="22"/>
          <w:szCs w:val="22"/>
        </w:rPr>
        <w:t>Platforma prin care pot fi accesate suportul de curs în format electronic și alte resurse de învățare/bibliografice:</w:t>
      </w:r>
      <w:r w:rsidR="009D5AB2">
        <w:rPr>
          <w:rFonts w:ascii="Calibri" w:hAnsi="Calibri" w:cs="Calibri"/>
          <w:bCs/>
          <w:sz w:val="22"/>
          <w:szCs w:val="22"/>
        </w:rPr>
        <w:t xml:space="preserve"> </w:t>
      </w:r>
      <w:r w:rsidR="009D5AB2" w:rsidRPr="009D5AB2">
        <w:rPr>
          <w:rFonts w:ascii="Calibri" w:hAnsi="Calibri" w:cs="Calibri"/>
          <w:bCs/>
          <w:sz w:val="22"/>
          <w:szCs w:val="22"/>
        </w:rPr>
        <w:t xml:space="preserve">Google </w:t>
      </w:r>
      <w:proofErr w:type="spellStart"/>
      <w:r w:rsidR="009D5AB2" w:rsidRPr="009D5AB2">
        <w:rPr>
          <w:rFonts w:ascii="Calibri" w:hAnsi="Calibri" w:cs="Calibri"/>
          <w:bCs/>
          <w:sz w:val="22"/>
          <w:szCs w:val="22"/>
        </w:rPr>
        <w:t>Classroom</w:t>
      </w:r>
      <w:proofErr w:type="spellEnd"/>
    </w:p>
    <w:p w14:paraId="7C7CF009" w14:textId="5328CA09" w:rsidR="00AB51F7" w:rsidRDefault="00AB51F7" w:rsidP="009D5AB2">
      <w:p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</w:p>
    <w:tbl>
      <w:tblPr>
        <w:tblW w:w="10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949"/>
        <w:gridCol w:w="2688"/>
        <w:gridCol w:w="1559"/>
        <w:gridCol w:w="6"/>
      </w:tblGrid>
      <w:tr w:rsidR="009D5AB2" w:rsidRPr="009D5AB2" w14:paraId="3D965B12" w14:textId="77777777" w:rsidTr="009D5AB2">
        <w:trPr>
          <w:gridAfter w:val="1"/>
          <w:wAfter w:w="6" w:type="dxa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4934" w14:textId="78BC6968" w:rsidR="009D5AB2" w:rsidRPr="009D5AB2" w:rsidRDefault="009D5AB2" w:rsidP="009D5AB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B41E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7</w:t>
            </w:r>
            <w:r w:rsidRPr="009D5AB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.1 Curs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21F0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Metode de predare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ACA0F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Observaţii</w:t>
            </w:r>
            <w:proofErr w:type="spellEnd"/>
          </w:p>
        </w:tc>
      </w:tr>
      <w:tr w:rsidR="009D5AB2" w:rsidRPr="009D5AB2" w14:paraId="4FDFFB98" w14:textId="77777777" w:rsidTr="009D5AB2">
        <w:trPr>
          <w:gridAfter w:val="1"/>
          <w:wAfter w:w="6" w:type="dxa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08F2A" w14:textId="77777777" w:rsidR="009D5AB2" w:rsidRPr="009D5AB2" w:rsidRDefault="009D5AB2" w:rsidP="009D5AB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Conflictele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-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definiţii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şi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caracteristici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generale</w:t>
            </w:r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: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Definiţii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ale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conflictelor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Tipologia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conflictelor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fr-FR" w:eastAsia="en-US"/>
              </w:rPr>
              <w:t>Niveluri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fr-FR" w:eastAsia="en-US"/>
              </w:rPr>
              <w:t xml:space="preserve"> de con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flict</w:t>
            </w:r>
            <w:proofErr w:type="spellEnd"/>
            <w:r w:rsidRPr="009D5AB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1EFD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Expunere, problematizare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BCDC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2h</w:t>
            </w:r>
          </w:p>
        </w:tc>
      </w:tr>
      <w:tr w:rsidR="009D5AB2" w:rsidRPr="009D5AB2" w14:paraId="15A66FA3" w14:textId="77777777" w:rsidTr="009D5AB2">
        <w:trPr>
          <w:gridAfter w:val="1"/>
          <w:wAfter w:w="6" w:type="dxa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CE7C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 w:eastAsia="en-US"/>
              </w:rPr>
              <w:t>Conflictul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 w:eastAsia="en-US"/>
              </w:rPr>
              <w:t>intrapersonal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 w:eastAsia="en-US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43D7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Expunere, problematizare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4BF2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2h</w:t>
            </w:r>
          </w:p>
        </w:tc>
      </w:tr>
      <w:tr w:rsidR="009D5AB2" w:rsidRPr="009D5AB2" w14:paraId="536BB040" w14:textId="77777777" w:rsidTr="009D5AB2">
        <w:trPr>
          <w:gridAfter w:val="1"/>
          <w:wAfter w:w="6" w:type="dxa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58932" w14:textId="77777777" w:rsidR="009D5AB2" w:rsidRPr="009D5AB2" w:rsidRDefault="009D5AB2" w:rsidP="009D5AB2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Conflictul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interpersonal</w:t>
            </w:r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: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Conflictul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rol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. Rol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şi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status.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Tipologii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umane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accentuate de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relaţionare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cu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ceilalţi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19DC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Expunere, problematizare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5C677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2h</w:t>
            </w:r>
          </w:p>
        </w:tc>
      </w:tr>
      <w:tr w:rsidR="009D5AB2" w:rsidRPr="009D5AB2" w14:paraId="06C57710" w14:textId="77777777" w:rsidTr="009D5AB2">
        <w:trPr>
          <w:gridAfter w:val="1"/>
          <w:wAfter w:w="6" w:type="dxa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6C2D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Comunicarea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generatoare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de conflict: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Tăcerea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Comunicarea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blocata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3EDE4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Expunere, problematizare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FAC1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2h</w:t>
            </w:r>
          </w:p>
        </w:tc>
      </w:tr>
      <w:tr w:rsidR="009D5AB2" w:rsidRPr="009D5AB2" w14:paraId="227735EA" w14:textId="77777777" w:rsidTr="009D5AB2">
        <w:trPr>
          <w:gridAfter w:val="1"/>
          <w:wAfter w:w="6" w:type="dxa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5616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fr-FR" w:eastAsia="en-US"/>
              </w:rPr>
              <w:t>Conceptul</w:t>
            </w:r>
            <w:proofErr w:type="spellEnd"/>
            <w:r w:rsidRPr="009D5AB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fr-FR" w:eastAsia="en-US"/>
              </w:rPr>
              <w:t xml:space="preserve"> de </w:t>
            </w:r>
            <w:proofErr w:type="spellStart"/>
            <w:r w:rsidRPr="009D5AB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fr-FR" w:eastAsia="en-US"/>
              </w:rPr>
              <w:t>negociere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.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Tipuri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de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negociere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. Metode de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analiză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a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negocierii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46974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Expunere, problematizare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E4A5A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2h</w:t>
            </w:r>
          </w:p>
        </w:tc>
      </w:tr>
      <w:tr w:rsidR="009D5AB2" w:rsidRPr="009D5AB2" w14:paraId="010B23A3" w14:textId="77777777" w:rsidTr="009D5AB2">
        <w:trPr>
          <w:gridAfter w:val="1"/>
          <w:wAfter w:w="6" w:type="dxa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C15F8" w14:textId="77777777" w:rsidR="009D5AB2" w:rsidRPr="009D5AB2" w:rsidRDefault="009D5AB2" w:rsidP="009D5AB2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</w:pPr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Negociatorul –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tehnici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negociere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Tipuri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negociator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Negocierea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în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echipă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9B45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Expunere, problematizare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672E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2h</w:t>
            </w:r>
          </w:p>
        </w:tc>
      </w:tr>
      <w:tr w:rsidR="009D5AB2" w:rsidRPr="009D5AB2" w14:paraId="1E5FBBD0" w14:textId="77777777" w:rsidTr="009D5AB2">
        <w:trPr>
          <w:gridAfter w:val="1"/>
          <w:wAfter w:w="6" w:type="dxa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C21D" w14:textId="77777777" w:rsidR="009D5AB2" w:rsidRPr="009D5AB2" w:rsidRDefault="009D5AB2" w:rsidP="009D5AB2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Naționalitate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și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negociere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Particularitățile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naționale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în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cadrul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negocierilor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9839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Expunere, problematizare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57ED6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2h</w:t>
            </w:r>
          </w:p>
        </w:tc>
      </w:tr>
      <w:tr w:rsidR="009D5AB2" w:rsidRPr="004B41EA" w14:paraId="04FC4EE3" w14:textId="77777777" w:rsidTr="009D5AB2">
        <w:tc>
          <w:tcPr>
            <w:tcW w:w="10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0435C" w14:textId="77777777" w:rsidR="009D5AB2" w:rsidRPr="009D5AB2" w:rsidRDefault="009D5AB2" w:rsidP="009D5AB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Bibliografie :</w:t>
            </w:r>
          </w:p>
          <w:p w14:paraId="33D51FCD" w14:textId="77777777" w:rsidR="009D5AB2" w:rsidRPr="009D5AB2" w:rsidRDefault="009D5AB2" w:rsidP="009D5AB2">
            <w:pPr>
              <w:numPr>
                <w:ilvl w:val="0"/>
                <w:numId w:val="31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gramStart"/>
            <w:r w:rsidRPr="009D5AB2"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  <w:t>Bogathy,  Z.</w:t>
            </w:r>
            <w:proofErr w:type="gramEnd"/>
            <w:r w:rsidRPr="009D5AB2"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  <w:t xml:space="preserve"> (2002).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R" w:eastAsia="en-US"/>
              </w:rPr>
              <w:t>Conflicte</w:t>
            </w:r>
            <w:proofErr w:type="spellEnd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R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R" w:eastAsia="en-US"/>
              </w:rPr>
              <w:t>în</w:t>
            </w:r>
            <w:proofErr w:type="spellEnd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R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R" w:eastAsia="en-US"/>
              </w:rPr>
              <w:t>organizaţii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  <w:t xml:space="preserve">. Ed.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  <w:t>Eurostampa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  <w:t xml:space="preserve">.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Timişoara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; </w:t>
            </w:r>
          </w:p>
          <w:p w14:paraId="1231CD39" w14:textId="77777777" w:rsidR="009D5AB2" w:rsidRPr="009D5AB2" w:rsidRDefault="009D5AB2" w:rsidP="009D5AB2">
            <w:pPr>
              <w:numPr>
                <w:ilvl w:val="0"/>
                <w:numId w:val="31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Boncu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, Ş., (2002),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>Psihologia</w:t>
            </w:r>
            <w:proofErr w:type="spellEnd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>influenţei</w:t>
            </w:r>
            <w:proofErr w:type="spellEnd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>sociale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Editura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Polirom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Iaşi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;</w:t>
            </w:r>
          </w:p>
          <w:p w14:paraId="1B9ABDB4" w14:textId="77777777" w:rsidR="009D5AB2" w:rsidRPr="009D5AB2" w:rsidRDefault="009D5AB2" w:rsidP="009D5AB2">
            <w:pPr>
              <w:numPr>
                <w:ilvl w:val="0"/>
                <w:numId w:val="31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lang w:val="en-US" w:eastAsia="en-US"/>
              </w:rPr>
              <w:t>Dahrendorf</w:t>
            </w:r>
            <w:proofErr w:type="spellEnd"/>
            <w:r w:rsidRPr="009D5AB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lang w:val="en-US" w:eastAsia="en-US"/>
              </w:rPr>
              <w:t xml:space="preserve">, R. (1996).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napToGrid w:val="0"/>
                <w:color w:val="000000"/>
                <w:sz w:val="22"/>
                <w:szCs w:val="22"/>
                <w:lang w:val="en-US" w:eastAsia="en-US"/>
              </w:rPr>
              <w:t>Conflictul</w:t>
            </w:r>
            <w:proofErr w:type="spellEnd"/>
            <w:r w:rsidRPr="009D5AB2">
              <w:rPr>
                <w:rFonts w:asciiTheme="minorHAnsi" w:hAnsiTheme="minorHAnsi" w:cstheme="minorHAnsi"/>
                <w:i/>
                <w:iCs/>
                <w:snapToGrid w:val="0"/>
                <w:color w:val="000000"/>
                <w:sz w:val="22"/>
                <w:szCs w:val="22"/>
                <w:lang w:val="en-US" w:eastAsia="en-US"/>
              </w:rPr>
              <w:t xml:space="preserve"> social modern.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napToGrid w:val="0"/>
                <w:color w:val="000000"/>
                <w:sz w:val="22"/>
                <w:szCs w:val="22"/>
                <w:lang w:val="es-CR" w:eastAsia="en-US"/>
              </w:rPr>
              <w:t>Eseu</w:t>
            </w:r>
            <w:proofErr w:type="spellEnd"/>
            <w:r w:rsidRPr="009D5AB2">
              <w:rPr>
                <w:rFonts w:asciiTheme="minorHAnsi" w:hAnsiTheme="minorHAnsi" w:cstheme="minorHAnsi"/>
                <w:i/>
                <w:iCs/>
                <w:snapToGrid w:val="0"/>
                <w:color w:val="000000"/>
                <w:sz w:val="22"/>
                <w:szCs w:val="22"/>
                <w:lang w:val="es-CR" w:eastAsia="en-US"/>
              </w:rPr>
              <w:t xml:space="preserve"> despre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napToGrid w:val="0"/>
                <w:color w:val="000000"/>
                <w:sz w:val="22"/>
                <w:szCs w:val="22"/>
                <w:lang w:val="es-CR" w:eastAsia="en-US"/>
              </w:rPr>
              <w:t>politica</w:t>
            </w:r>
            <w:proofErr w:type="spellEnd"/>
            <w:r w:rsidRPr="009D5AB2">
              <w:rPr>
                <w:rFonts w:asciiTheme="minorHAnsi" w:hAnsiTheme="minorHAnsi" w:cstheme="minorHAnsi"/>
                <w:i/>
                <w:iCs/>
                <w:snapToGrid w:val="0"/>
                <w:color w:val="000000"/>
                <w:sz w:val="22"/>
                <w:szCs w:val="22"/>
                <w:lang w:val="es-CR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napToGrid w:val="0"/>
                <w:color w:val="000000"/>
                <w:sz w:val="22"/>
                <w:szCs w:val="22"/>
                <w:lang w:val="es-CR" w:eastAsia="en-US"/>
              </w:rPr>
              <w:t>libertăţii</w:t>
            </w:r>
            <w:proofErr w:type="spellEnd"/>
            <w:r w:rsidRPr="009D5AB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lang w:val="es-CR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lang w:val="es-CR" w:eastAsia="en-US"/>
              </w:rPr>
              <w:t>Editura</w:t>
            </w:r>
            <w:proofErr w:type="spellEnd"/>
            <w:r w:rsidRPr="009D5AB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lang w:val="es-CR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lang w:val="es-CR" w:eastAsia="en-US"/>
              </w:rPr>
              <w:t>Humanitas</w:t>
            </w:r>
            <w:proofErr w:type="spellEnd"/>
            <w:r w:rsidRPr="009D5AB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lang w:val="es-CR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lang w:val="es-CR" w:eastAsia="en-US"/>
              </w:rPr>
              <w:t>Bucureşti</w:t>
            </w:r>
            <w:proofErr w:type="spellEnd"/>
            <w:r w:rsidRPr="009D5AB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lang w:val="es-CR" w:eastAsia="en-US"/>
              </w:rPr>
              <w:t>.</w:t>
            </w:r>
          </w:p>
          <w:p w14:paraId="1A6C6C7F" w14:textId="77777777" w:rsidR="009D5AB2" w:rsidRPr="009D5AB2" w:rsidRDefault="009D5AB2" w:rsidP="009D5AB2">
            <w:pPr>
              <w:numPr>
                <w:ilvl w:val="0"/>
                <w:numId w:val="31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  <w:t xml:space="preserve">De Visscher, P.,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  <w:t>Neculau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  <w:t xml:space="preserve">, A., (2001),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R" w:eastAsia="en-US"/>
              </w:rPr>
              <w:t>Dinamica</w:t>
            </w:r>
            <w:proofErr w:type="spellEnd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R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R" w:eastAsia="en-US"/>
              </w:rPr>
              <w:t>grupurilor</w:t>
            </w:r>
            <w:proofErr w:type="spellEnd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R" w:eastAsia="en-US"/>
              </w:rPr>
              <w:t xml:space="preserve">. </w:t>
            </w:r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fr-FR" w:eastAsia="en-US"/>
              </w:rPr>
              <w:t xml:space="preserve">Texte de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fr-FR" w:eastAsia="en-US"/>
              </w:rPr>
              <w:t>bază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Editura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Polirom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, Iaşi.</w:t>
            </w:r>
          </w:p>
          <w:p w14:paraId="4C8B1043" w14:textId="77777777" w:rsidR="009D5AB2" w:rsidRPr="009D5AB2" w:rsidRDefault="009D5AB2" w:rsidP="009D5AB2">
            <w:pPr>
              <w:numPr>
                <w:ilvl w:val="0"/>
                <w:numId w:val="31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Eunson, Baden (2015),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fr-FR" w:eastAsia="en-US"/>
              </w:rPr>
              <w:t>Managementul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fr-FR" w:eastAsia="en-US"/>
              </w:rPr>
              <w:t>conflictului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Remind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București</w:t>
            </w:r>
            <w:proofErr w:type="spellEnd"/>
          </w:p>
          <w:p w14:paraId="0DFBC92A" w14:textId="77777777" w:rsidR="009D5AB2" w:rsidRPr="009D5AB2" w:rsidRDefault="009D5AB2" w:rsidP="009D5AB2">
            <w:pPr>
              <w:numPr>
                <w:ilvl w:val="0"/>
                <w:numId w:val="31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lastRenderedPageBreak/>
              <w:t xml:space="preserve">Gordon, J.R. (1984). </w:t>
            </w:r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>A Diagnostic Approach to Organizational Behavior</w:t>
            </w:r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, Allyn and Bacon.</w:t>
            </w:r>
          </w:p>
          <w:p w14:paraId="0F60F62D" w14:textId="77777777" w:rsidR="009D5AB2" w:rsidRPr="009D5AB2" w:rsidRDefault="009D5AB2" w:rsidP="009D5AB2">
            <w:pPr>
              <w:numPr>
                <w:ilvl w:val="0"/>
                <w:numId w:val="31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Gorg, B. (1997).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>Managerii</w:t>
            </w:r>
            <w:proofErr w:type="spellEnd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>viitorului</w:t>
            </w:r>
            <w:proofErr w:type="spellEnd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>Viitorul</w:t>
            </w:r>
            <w:proofErr w:type="spellEnd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>managerilor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Institutul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European,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Iaşi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</w:t>
            </w:r>
          </w:p>
          <w:p w14:paraId="15D0CC61" w14:textId="77777777" w:rsidR="009D5AB2" w:rsidRPr="009D5AB2" w:rsidRDefault="009D5AB2" w:rsidP="009D5AB2">
            <w:pPr>
              <w:numPr>
                <w:ilvl w:val="0"/>
                <w:numId w:val="31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  <w:lang w:val="sv-SE"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val="sv-SE" w:eastAsia="en-US"/>
              </w:rPr>
              <w:t xml:space="preserve">Hiltrop, Jean-M, Udall Sheila (1998), </w:t>
            </w:r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sv-SE" w:eastAsia="en-US"/>
              </w:rPr>
              <w:t>Arta negocierii</w:t>
            </w:r>
            <w:r w:rsidRPr="009D5AB2">
              <w:rPr>
                <w:rFonts w:asciiTheme="minorHAnsi" w:hAnsiTheme="minorHAnsi" w:cstheme="minorHAnsi"/>
                <w:sz w:val="22"/>
                <w:szCs w:val="22"/>
                <w:lang w:val="sv-SE" w:eastAsia="en-US"/>
              </w:rPr>
              <w:t xml:space="preserve">, Editura Teora, Bucureşti, </w:t>
            </w:r>
          </w:p>
          <w:p w14:paraId="063D6947" w14:textId="77777777" w:rsidR="009D5AB2" w:rsidRPr="009D5AB2" w:rsidRDefault="009D5AB2" w:rsidP="009D5AB2">
            <w:pPr>
              <w:numPr>
                <w:ilvl w:val="0"/>
                <w:numId w:val="31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Johns Gary (1998),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>Comportamentul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>organizaţional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Editura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Economică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Bucureşti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,</w:t>
            </w:r>
          </w:p>
          <w:p w14:paraId="7CFC7991" w14:textId="77777777" w:rsidR="009D5AB2" w:rsidRPr="009D5AB2" w:rsidRDefault="009D5AB2" w:rsidP="009D5AB2">
            <w:pPr>
              <w:numPr>
                <w:ilvl w:val="0"/>
                <w:numId w:val="31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Loching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Corneliu (2017)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>Conflicte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 xml:space="preserve"> –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>metode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 xml:space="preserve"> alternative de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>administrare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>și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>soluționare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, Ed.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Universității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Al.I.Cuza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Iași</w:t>
            </w:r>
          </w:p>
          <w:p w14:paraId="7CD0B964" w14:textId="77777777" w:rsidR="009D5AB2" w:rsidRPr="009D5AB2" w:rsidRDefault="009D5AB2" w:rsidP="009D5AB2">
            <w:pPr>
              <w:numPr>
                <w:ilvl w:val="0"/>
                <w:numId w:val="31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  <w:lang w:val="sv-SE"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  <w:t xml:space="preserve">Nelson Bouchard (2006),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>Rezolvarea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>conflictelor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 xml:space="preserve"> la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>serviciu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 xml:space="preserve">. </w:t>
            </w:r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sv-SE" w:eastAsia="en-US"/>
              </w:rPr>
              <w:t xml:space="preserve">Tipuri de personalitate şi soluţii. </w:t>
            </w:r>
            <w:r w:rsidRPr="009D5AB2">
              <w:rPr>
                <w:rFonts w:asciiTheme="minorHAnsi" w:hAnsiTheme="minorHAnsi" w:cstheme="minorHAnsi"/>
                <w:sz w:val="22"/>
                <w:szCs w:val="22"/>
                <w:lang w:val="sv-SE" w:eastAsia="en-US"/>
              </w:rPr>
              <w:t>Editura Polirom, Iaşi,</w:t>
            </w:r>
          </w:p>
          <w:p w14:paraId="6E652C22" w14:textId="77777777" w:rsidR="009D5AB2" w:rsidRPr="009D5AB2" w:rsidRDefault="009D5AB2" w:rsidP="009D5AB2">
            <w:pPr>
              <w:numPr>
                <w:ilvl w:val="0"/>
                <w:numId w:val="31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  <w:t xml:space="preserve">Ştefan Prutianu (2002), </w:t>
            </w:r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 xml:space="preserve">Manual de comunicare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>şi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>negociere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>în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>afaceri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  <w:t>Polirom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  <w:t>, Iaşi,</w:t>
            </w:r>
          </w:p>
          <w:p w14:paraId="3A5B0977" w14:textId="77777777" w:rsidR="009D5AB2" w:rsidRPr="009D5AB2" w:rsidRDefault="009D5AB2" w:rsidP="009D5AB2">
            <w:pPr>
              <w:numPr>
                <w:ilvl w:val="0"/>
                <w:numId w:val="31"/>
              </w:numPr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Stoica-Constantin, A.,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Neculau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, A., (coord.), (1998),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>Conflictul</w:t>
            </w:r>
            <w:proofErr w:type="spellEnd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 xml:space="preserve"> interpersonal,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Editura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Polirom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Iaşi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;</w:t>
            </w:r>
          </w:p>
          <w:p w14:paraId="493EB03F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9D5AB2" w:rsidRPr="009D5AB2" w14:paraId="492364CF" w14:textId="77777777" w:rsidTr="009D5AB2">
        <w:trPr>
          <w:gridAfter w:val="1"/>
          <w:wAfter w:w="6" w:type="dxa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B0074" w14:textId="6E2932AC" w:rsidR="009D5AB2" w:rsidRPr="009D5AB2" w:rsidRDefault="009D5AB2" w:rsidP="009D5AB2">
            <w:pPr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 w:eastAsia="en-US"/>
              </w:rPr>
            </w:pPr>
            <w:r w:rsidRPr="004B41E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lastRenderedPageBreak/>
              <w:t>7</w:t>
            </w:r>
            <w:r w:rsidRPr="009D5AB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.2 seminar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D3F80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Metode de predare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F7C8" w14:textId="77777777" w:rsidR="009D5AB2" w:rsidRPr="009D5AB2" w:rsidRDefault="009D5AB2" w:rsidP="009D5AB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Observaţii</w:t>
            </w:r>
            <w:proofErr w:type="spellEnd"/>
          </w:p>
        </w:tc>
      </w:tr>
      <w:tr w:rsidR="009D5AB2" w:rsidRPr="009D5AB2" w14:paraId="6C85DAC1" w14:textId="77777777" w:rsidTr="009D5AB2">
        <w:trPr>
          <w:gridAfter w:val="1"/>
          <w:wAfter w:w="6" w:type="dxa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F3908" w14:textId="77777777" w:rsidR="009D5AB2" w:rsidRPr="009D5AB2" w:rsidRDefault="009D5AB2" w:rsidP="009D5AB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Conflictele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-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definiţii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şi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caracteristici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generale</w:t>
            </w:r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: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Definiţii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ale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conflictelor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Tipologia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conflictelor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fr-FR" w:eastAsia="en-US"/>
              </w:rPr>
              <w:t>Niveluri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fr-FR" w:eastAsia="en-US"/>
              </w:rPr>
              <w:t xml:space="preserve"> de con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flict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CDF6" w14:textId="77777777" w:rsidR="009D5AB2" w:rsidRPr="009D5AB2" w:rsidRDefault="009D5AB2" w:rsidP="009D5AB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Explicatii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prezentare aplicații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91921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2h</w:t>
            </w:r>
          </w:p>
        </w:tc>
      </w:tr>
      <w:tr w:rsidR="009D5AB2" w:rsidRPr="009D5AB2" w14:paraId="50F86CC7" w14:textId="77777777" w:rsidTr="009D5AB2">
        <w:trPr>
          <w:gridAfter w:val="1"/>
          <w:wAfter w:w="6" w:type="dxa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62129" w14:textId="77777777" w:rsidR="009D5AB2" w:rsidRPr="009D5AB2" w:rsidRDefault="009D5AB2" w:rsidP="009D5AB2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 w:eastAsia="en-US"/>
              </w:rPr>
              <w:t>Conflictul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 w:eastAsia="en-US"/>
              </w:rPr>
              <w:t>intrapersonal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fr-FR" w:eastAsia="en-US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1642" w14:textId="77777777" w:rsidR="009D5AB2" w:rsidRPr="009D5AB2" w:rsidRDefault="009D5AB2" w:rsidP="009D5AB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Explicatii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prezentare aplicații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BF30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2h</w:t>
            </w:r>
          </w:p>
        </w:tc>
      </w:tr>
      <w:tr w:rsidR="009D5AB2" w:rsidRPr="009D5AB2" w14:paraId="3F541448" w14:textId="77777777" w:rsidTr="009D5AB2">
        <w:trPr>
          <w:gridAfter w:val="1"/>
          <w:wAfter w:w="6" w:type="dxa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EE0D" w14:textId="77777777" w:rsidR="009D5AB2" w:rsidRPr="009D5AB2" w:rsidRDefault="009D5AB2" w:rsidP="009D5AB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Conflictul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interpersonal</w:t>
            </w:r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: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Conflictul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rol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. Rol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şi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status.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Tipologii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umane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accentuate de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relaţionare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cu </w:t>
            </w:r>
            <w:proofErr w:type="spellStart"/>
            <w:proofErr w:type="gram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ceilalţi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..</w:t>
            </w:r>
            <w:proofErr w:type="gram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47CE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Explicatii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prezentare aplicații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D96EE" w14:textId="77777777" w:rsidR="009D5AB2" w:rsidRPr="009D5AB2" w:rsidRDefault="009D5AB2" w:rsidP="009D5AB2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2h</w:t>
            </w:r>
          </w:p>
        </w:tc>
      </w:tr>
      <w:tr w:rsidR="009D5AB2" w:rsidRPr="009D5AB2" w14:paraId="030D6354" w14:textId="77777777" w:rsidTr="009D5AB2">
        <w:trPr>
          <w:gridAfter w:val="1"/>
          <w:wAfter w:w="6" w:type="dxa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AF6AF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Comunicarea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generatoare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de conflict: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Tăcerea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Comunicarea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blocata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59F6" w14:textId="77777777" w:rsidR="009D5AB2" w:rsidRPr="009D5AB2" w:rsidRDefault="009D5AB2" w:rsidP="009D5AB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Explicatii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prezentare aplicații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09A9" w14:textId="77777777" w:rsidR="009D5AB2" w:rsidRPr="009D5AB2" w:rsidRDefault="009D5AB2" w:rsidP="009D5AB2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9D5A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2h</w:t>
            </w:r>
          </w:p>
        </w:tc>
      </w:tr>
      <w:tr w:rsidR="009D5AB2" w:rsidRPr="009D5AB2" w14:paraId="692FC38C" w14:textId="77777777" w:rsidTr="009D5AB2">
        <w:trPr>
          <w:gridAfter w:val="1"/>
          <w:wAfter w:w="6" w:type="dxa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3335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fr-FR" w:eastAsia="en-US"/>
              </w:rPr>
              <w:t>Conceptul</w:t>
            </w:r>
            <w:proofErr w:type="spellEnd"/>
            <w:r w:rsidRPr="009D5AB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fr-FR" w:eastAsia="en-US"/>
              </w:rPr>
              <w:t xml:space="preserve"> de </w:t>
            </w:r>
            <w:proofErr w:type="spellStart"/>
            <w:r w:rsidRPr="009D5AB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fr-FR" w:eastAsia="en-US"/>
              </w:rPr>
              <w:t>negociere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.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Tipuri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de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negociere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. Metode de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analiză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a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negocierii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139BE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Explicatii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prezentare aplicații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156D" w14:textId="77777777" w:rsidR="009D5AB2" w:rsidRPr="009D5AB2" w:rsidRDefault="009D5AB2" w:rsidP="009D5AB2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9D5A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2h</w:t>
            </w:r>
          </w:p>
        </w:tc>
      </w:tr>
      <w:tr w:rsidR="009D5AB2" w:rsidRPr="009D5AB2" w14:paraId="0F29D6AC" w14:textId="77777777" w:rsidTr="009D5AB2">
        <w:trPr>
          <w:gridAfter w:val="1"/>
          <w:wAfter w:w="6" w:type="dxa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C09A" w14:textId="77777777" w:rsidR="009D5AB2" w:rsidRPr="009D5AB2" w:rsidRDefault="009D5AB2" w:rsidP="009D5AB2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</w:pPr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Negociatorul –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tehnici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negociere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Tipuri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negociator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Negocierea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 xml:space="preserve"> în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echipă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BF9E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Explicatii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prezentare aplicații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EAEA" w14:textId="77777777" w:rsidR="009D5AB2" w:rsidRPr="009D5AB2" w:rsidRDefault="009D5AB2" w:rsidP="009D5AB2">
            <w:pPr>
              <w:spacing w:after="20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2h</w:t>
            </w:r>
          </w:p>
        </w:tc>
      </w:tr>
      <w:tr w:rsidR="009D5AB2" w:rsidRPr="009D5AB2" w14:paraId="1580F5A3" w14:textId="77777777" w:rsidTr="009D5AB2">
        <w:trPr>
          <w:gridAfter w:val="1"/>
          <w:wAfter w:w="6" w:type="dxa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D38C9" w14:textId="77777777" w:rsidR="009D5AB2" w:rsidRPr="009D5AB2" w:rsidRDefault="009D5AB2" w:rsidP="009D5AB2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Naționalitate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și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>negociere</w:t>
            </w:r>
            <w:proofErr w:type="spellEnd"/>
            <w:r w:rsidRPr="009D5AB2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Particularitățile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naționale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în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cadrul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negocierilor</w:t>
            </w:r>
            <w:proofErr w:type="spellEnd"/>
            <w:r w:rsidRPr="009D5A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8489E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Explicatii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prezentare aplicații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6A7D1" w14:textId="77777777" w:rsidR="009D5AB2" w:rsidRPr="009D5AB2" w:rsidRDefault="009D5AB2" w:rsidP="009D5AB2">
            <w:pPr>
              <w:spacing w:after="20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2h</w:t>
            </w:r>
          </w:p>
        </w:tc>
      </w:tr>
      <w:tr w:rsidR="009D5AB2" w:rsidRPr="004B41EA" w14:paraId="5536783B" w14:textId="77777777" w:rsidTr="00576401">
        <w:trPr>
          <w:gridAfter w:val="1"/>
          <w:wAfter w:w="6" w:type="dxa"/>
        </w:trPr>
        <w:tc>
          <w:tcPr>
            <w:tcW w:w="10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9277B" w14:textId="77777777" w:rsidR="009D5AB2" w:rsidRPr="009D5AB2" w:rsidRDefault="009D5AB2" w:rsidP="009D5AB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Bibliografie :</w:t>
            </w:r>
          </w:p>
          <w:p w14:paraId="0CB94F18" w14:textId="77777777" w:rsidR="009D5AB2" w:rsidRPr="009D5AB2" w:rsidRDefault="009D5AB2" w:rsidP="009D5AB2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sv-SE"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val="sv-SE" w:eastAsia="en-US"/>
              </w:rPr>
              <w:t xml:space="preserve">Hiltrop, Jean-M, Udall Sheila (1998), </w:t>
            </w:r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sv-SE" w:eastAsia="en-US"/>
              </w:rPr>
              <w:t>Arta negocierii</w:t>
            </w:r>
            <w:r w:rsidRPr="009D5AB2">
              <w:rPr>
                <w:rFonts w:asciiTheme="minorHAnsi" w:hAnsiTheme="minorHAnsi" w:cstheme="minorHAnsi"/>
                <w:sz w:val="22"/>
                <w:szCs w:val="22"/>
                <w:lang w:val="sv-SE" w:eastAsia="en-US"/>
              </w:rPr>
              <w:t xml:space="preserve">, Editura Teora, Bucureşti, </w:t>
            </w:r>
          </w:p>
          <w:p w14:paraId="3C1BF980" w14:textId="77777777" w:rsidR="009D5AB2" w:rsidRPr="009D5AB2" w:rsidRDefault="009D5AB2" w:rsidP="009D5AB2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  <w:t xml:space="preserve">Ştefan Prutianu (2002), </w:t>
            </w:r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 xml:space="preserve">Manual de comunicare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>şi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>negociere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>în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>afaceri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s-CR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  <w:t>Polirom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s-CR" w:eastAsia="en-US"/>
              </w:rPr>
              <w:t>, Iaşi,</w:t>
            </w:r>
          </w:p>
          <w:p w14:paraId="183F882B" w14:textId="77777777" w:rsidR="009D5AB2" w:rsidRPr="009D5AB2" w:rsidRDefault="009D5AB2" w:rsidP="009D5AB2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Stoica-Constantin, A.,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Neculau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, A., (coord.), (1998), </w:t>
            </w:r>
            <w:proofErr w:type="spellStart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>Conflictul</w:t>
            </w:r>
            <w:proofErr w:type="spellEnd"/>
            <w:r w:rsidRPr="009D5AB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 xml:space="preserve"> interpersonal,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Editura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Polirom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Iaşi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;</w:t>
            </w:r>
          </w:p>
          <w:p w14:paraId="6D118C0B" w14:textId="72E63895" w:rsidR="009D5AB2" w:rsidRPr="009D5AB2" w:rsidRDefault="009D5AB2" w:rsidP="009D5AB2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Stoica-Constantin Ana (2018),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>Conflictul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 xml:space="preserve"> interpersonal.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>Prevenire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>rezolvare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>și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>diminuarea</w:t>
            </w:r>
            <w:proofErr w:type="spellEnd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i/>
                <w:sz w:val="22"/>
                <w:szCs w:val="22"/>
                <w:lang w:val="en-US" w:eastAsia="en-US"/>
              </w:rPr>
              <w:t>efectelor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Polirom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Iași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</w:t>
            </w:r>
          </w:p>
        </w:tc>
      </w:tr>
    </w:tbl>
    <w:p w14:paraId="5EDB969B" w14:textId="16D8383F" w:rsidR="009D5AB2" w:rsidRDefault="009D5AB2" w:rsidP="009D5AB2">
      <w:p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7FF27C49" w14:textId="77777777" w:rsidR="009D5AB2" w:rsidRDefault="009D5AB2" w:rsidP="009D5AB2">
      <w:p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5DCD796C" w14:textId="7EF138EA" w:rsidR="00E0255D" w:rsidRPr="00AB51F7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jc w:val="both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Coroborarea con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inuturilor disciplinei cu a</w:t>
      </w:r>
      <w:r w:rsidR="00C4385C" w:rsidRPr="00AB51F7">
        <w:rPr>
          <w:rFonts w:ascii="Calibri" w:hAnsi="Calibri" w:cs="Calibri"/>
          <w:b/>
        </w:rPr>
        <w:t>ș</w:t>
      </w:r>
      <w:r w:rsidRPr="00AB51F7">
        <w:rPr>
          <w:rFonts w:ascii="Calibri" w:hAnsi="Calibri" w:cs="Calibri"/>
          <w:b/>
        </w:rPr>
        <w:t>teptările reprezentan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ilor comunită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epistemice, asocia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 xml:space="preserve">iilor profesionale </w:t>
      </w:r>
      <w:r w:rsidR="00C4385C" w:rsidRPr="00AB51F7">
        <w:rPr>
          <w:rFonts w:ascii="Calibri" w:hAnsi="Calibri" w:cs="Calibri"/>
          <w:b/>
        </w:rPr>
        <w:t>ș</w:t>
      </w:r>
      <w:r w:rsidRPr="00AB51F7">
        <w:rPr>
          <w:rFonts w:ascii="Calibri" w:hAnsi="Calibri" w:cs="Calibr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AB51F7" w14:paraId="616C5A3F" w14:textId="77777777" w:rsidTr="00E0255D">
        <w:tc>
          <w:tcPr>
            <w:tcW w:w="9389" w:type="dxa"/>
          </w:tcPr>
          <w:p w14:paraId="121C75C4" w14:textId="51384913" w:rsidR="009D5AB2" w:rsidRPr="009D5AB2" w:rsidRDefault="009D5AB2" w:rsidP="009D5AB2">
            <w:pPr>
              <w:pStyle w:val="Frspaiere"/>
              <w:rPr>
                <w:rFonts w:cs="Calibri"/>
                <w:lang w:val="ro-RO"/>
              </w:rPr>
            </w:pPr>
            <w:proofErr w:type="spellStart"/>
            <w:r w:rsidRPr="009D5AB2">
              <w:rPr>
                <w:rFonts w:cs="Calibri"/>
                <w:lang w:val="ro-RO"/>
              </w:rPr>
              <w:t>Conţinutul</w:t>
            </w:r>
            <w:proofErr w:type="spellEnd"/>
            <w:r w:rsidRPr="009D5AB2">
              <w:rPr>
                <w:rFonts w:cs="Calibri"/>
                <w:lang w:val="ro-RO"/>
              </w:rPr>
              <w:t xml:space="preserve"> disciplinei este în </w:t>
            </w:r>
            <w:proofErr w:type="spellStart"/>
            <w:r w:rsidRPr="009D5AB2">
              <w:rPr>
                <w:rFonts w:cs="Calibri"/>
                <w:lang w:val="ro-RO"/>
              </w:rPr>
              <w:t>concordanţă</w:t>
            </w:r>
            <w:proofErr w:type="spellEnd"/>
            <w:r w:rsidRPr="009D5AB2">
              <w:rPr>
                <w:rFonts w:cs="Calibri"/>
                <w:lang w:val="ro-RO"/>
              </w:rPr>
              <w:t xml:space="preserve"> cu ceea ce se face în alte centre universitare din tara și din </w:t>
            </w:r>
          </w:p>
          <w:p w14:paraId="573D3022" w14:textId="30673AD7" w:rsidR="00E0255D" w:rsidRPr="00AB51F7" w:rsidRDefault="009D5AB2" w:rsidP="009D5AB2">
            <w:pPr>
              <w:pStyle w:val="Frspaiere"/>
              <w:rPr>
                <w:rFonts w:cs="Calibri"/>
                <w:lang w:val="ro-RO"/>
              </w:rPr>
            </w:pPr>
            <w:r w:rsidRPr="009D5AB2">
              <w:rPr>
                <w:rFonts w:cs="Calibri"/>
                <w:lang w:val="ro-RO"/>
              </w:rPr>
              <w:t>străinătate</w:t>
            </w:r>
            <w:r>
              <w:rPr>
                <w:rFonts w:cs="Calibri"/>
                <w:lang w:val="ro-RO"/>
              </w:rPr>
              <w:t xml:space="preserve"> p</w:t>
            </w:r>
            <w:r w:rsidRPr="009D5AB2">
              <w:rPr>
                <w:rFonts w:cs="Calibri"/>
                <w:lang w:val="ro-RO"/>
              </w:rPr>
              <w:t xml:space="preserve">entru o mai buna adaptare la </w:t>
            </w:r>
            <w:proofErr w:type="spellStart"/>
            <w:r w:rsidRPr="009D5AB2">
              <w:rPr>
                <w:rFonts w:cs="Calibri"/>
                <w:lang w:val="ro-RO"/>
              </w:rPr>
              <w:t>cerinţele</w:t>
            </w:r>
            <w:proofErr w:type="spellEnd"/>
            <w:r w:rsidRPr="009D5AB2">
              <w:rPr>
                <w:rFonts w:cs="Calibri"/>
                <w:lang w:val="ro-RO"/>
              </w:rPr>
              <w:t xml:space="preserve"> </w:t>
            </w:r>
            <w:proofErr w:type="spellStart"/>
            <w:r w:rsidRPr="009D5AB2">
              <w:rPr>
                <w:rFonts w:cs="Calibri"/>
                <w:lang w:val="ro-RO"/>
              </w:rPr>
              <w:t>pieţei</w:t>
            </w:r>
            <w:proofErr w:type="spellEnd"/>
            <w:r w:rsidRPr="009D5AB2">
              <w:rPr>
                <w:rFonts w:cs="Calibri"/>
                <w:lang w:val="ro-RO"/>
              </w:rPr>
              <w:t xml:space="preserve"> muncii.</w:t>
            </w:r>
          </w:p>
        </w:tc>
      </w:tr>
    </w:tbl>
    <w:p w14:paraId="6C85CEF1" w14:textId="1496ED97" w:rsidR="00802D13" w:rsidRDefault="00802D13" w:rsidP="00802D13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7D257113" w14:textId="77777777" w:rsidR="009D5AB2" w:rsidRPr="00AB51F7" w:rsidRDefault="009D5AB2" w:rsidP="00802D13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4ABEEB83" w14:textId="1E2377B8" w:rsidR="00EA206E" w:rsidRPr="00AB51F7" w:rsidRDefault="00EA206E" w:rsidP="00AA12EE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  <w:bCs/>
        </w:rPr>
      </w:pPr>
      <w:r w:rsidRPr="00AB51F7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A206E" w:rsidRPr="00AB51F7" w14:paraId="6DBE5B7C" w14:textId="77777777" w:rsidTr="00AA12EE">
        <w:trPr>
          <w:trHeight w:val="558"/>
        </w:trPr>
        <w:tc>
          <w:tcPr>
            <w:tcW w:w="9389" w:type="dxa"/>
          </w:tcPr>
          <w:p w14:paraId="663DD918" w14:textId="6C5892C2" w:rsidR="00EA206E" w:rsidRPr="00AB51F7" w:rsidRDefault="009D5AB2" w:rsidP="009D5AB2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b/>
                <w:bCs/>
                <w:lang w:val="ro-RO"/>
              </w:rPr>
              <w:t>Pentru realizarea sarcinilor definite la secțiunea de evaluare</w:t>
            </w:r>
            <w:r>
              <w:rPr>
                <w:rFonts w:cs="Calibri"/>
                <w:b/>
                <w:bCs/>
                <w:lang w:val="ro-RO"/>
              </w:rPr>
              <w:t xml:space="preserve"> </w:t>
            </w:r>
            <w:r w:rsidRPr="00AB51F7">
              <w:rPr>
                <w:rFonts w:cs="Calibri"/>
                <w:b/>
                <w:bCs/>
                <w:highlight w:val="lightGray"/>
                <w:lang w:val="ro-RO"/>
              </w:rPr>
              <w:t>nu</w:t>
            </w:r>
            <w:r w:rsidRPr="00AB51F7">
              <w:rPr>
                <w:rFonts w:cs="Calibri"/>
                <w:b/>
                <w:bCs/>
                <w:lang w:val="ro-RO"/>
              </w:rPr>
              <w:t xml:space="preserve"> este permisă utilizarea instrumentelor </w:t>
            </w:r>
            <w:proofErr w:type="spellStart"/>
            <w:r w:rsidRPr="00AB51F7">
              <w:rPr>
                <w:rFonts w:cs="Calibri"/>
                <w:b/>
                <w:bCs/>
                <w:lang w:val="ro-RO"/>
              </w:rPr>
              <w:t>IAgen</w:t>
            </w:r>
            <w:proofErr w:type="spellEnd"/>
            <w:r>
              <w:rPr>
                <w:rFonts w:cs="Calibri"/>
                <w:b/>
                <w:bCs/>
                <w:lang w:val="ro-RO"/>
              </w:rPr>
              <w:t>.</w:t>
            </w:r>
          </w:p>
        </w:tc>
      </w:tr>
    </w:tbl>
    <w:p w14:paraId="17FE0F59" w14:textId="54986648" w:rsidR="00EA206E" w:rsidRDefault="00EA206E" w:rsidP="00802D13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7598B12B" w14:textId="7DD1B6BA" w:rsidR="009D5AB2" w:rsidRDefault="009D5AB2" w:rsidP="00802D13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715C045D" w14:textId="72205B4B" w:rsidR="009D5AB2" w:rsidRDefault="009D5AB2" w:rsidP="00802D13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5E5B41A8" w14:textId="6DF2BC25" w:rsidR="009D5AB2" w:rsidRDefault="009D5AB2" w:rsidP="00802D13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3D58E865" w14:textId="77777777" w:rsidR="009D5AB2" w:rsidRPr="00AB51F7" w:rsidRDefault="009D5AB2" w:rsidP="00802D13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14CF112F" w14:textId="09BB2BC0" w:rsidR="00E0255D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Evaluare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64"/>
        <w:gridCol w:w="4077"/>
        <w:gridCol w:w="1915"/>
        <w:gridCol w:w="2088"/>
      </w:tblGrid>
      <w:tr w:rsidR="009D5AB2" w:rsidRPr="009D5AB2" w14:paraId="274088C5" w14:textId="77777777" w:rsidTr="00282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56597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Tip activitate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FD63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10.1 Criterii de evaluare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3AD42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10.2 Metode de evaluare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A533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10.3 Pondere din nota finală</w:t>
            </w:r>
          </w:p>
        </w:tc>
      </w:tr>
      <w:tr w:rsidR="009D5AB2" w:rsidRPr="009D5AB2" w14:paraId="751AB050" w14:textId="77777777" w:rsidTr="00282D44">
        <w:trPr>
          <w:cantSplit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BAEFA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10.4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9C9D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Elaborarea unor lucrări practice individuale sau în echipe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90D2E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 parcurs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3E87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40%</w:t>
            </w:r>
          </w:p>
        </w:tc>
      </w:tr>
      <w:tr w:rsidR="009D5AB2" w:rsidRPr="009D5AB2" w14:paraId="50C4A5F5" w14:textId="77777777" w:rsidTr="00282D44">
        <w:trPr>
          <w:cantSplit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AD3CB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C76C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Test grila în continuarea lucrării practice și evaluării sumative.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4850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Examen final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E2E1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20%</w:t>
            </w:r>
          </w:p>
        </w:tc>
      </w:tr>
      <w:tr w:rsidR="009D5AB2" w:rsidRPr="009D5AB2" w14:paraId="0E11E30A" w14:textId="77777777" w:rsidTr="00282D44">
        <w:trPr>
          <w:cantSplit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8824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10.5 Seminar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8248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Evaluare sumativă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0B648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 parcurs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D5DA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40%</w:t>
            </w:r>
          </w:p>
        </w:tc>
      </w:tr>
      <w:tr w:rsidR="009D5AB2" w:rsidRPr="009D5AB2" w14:paraId="5C001314" w14:textId="77777777" w:rsidTr="00282D44">
        <w:trPr>
          <w:cantSplit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FBE1D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D4351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C39AB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1449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D5AB2" w:rsidRPr="009D5AB2" w14:paraId="03A74749" w14:textId="77777777" w:rsidTr="00282D44">
        <w:trPr>
          <w:cantSplit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8C8F3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CE38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202C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C0C0D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D5AB2" w:rsidRPr="009D5AB2" w14:paraId="4D3E2CFA" w14:textId="77777777" w:rsidTr="009D5AB2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7909" w14:textId="77777777" w:rsidR="009D5AB2" w:rsidRPr="009D5AB2" w:rsidRDefault="009D5AB2" w:rsidP="009D5AB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10.6 Standard minim de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performanţă</w:t>
            </w:r>
            <w:proofErr w:type="spellEnd"/>
          </w:p>
        </w:tc>
      </w:tr>
      <w:tr w:rsidR="009D5AB2" w:rsidRPr="009D5AB2" w14:paraId="1D2E4154" w14:textId="77777777" w:rsidTr="009D5AB2">
        <w:trPr>
          <w:trHeight w:val="796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506370" w14:textId="77777777" w:rsidR="009D5AB2" w:rsidRPr="009D5AB2" w:rsidRDefault="009D5AB2" w:rsidP="009D5AB2">
            <w:pPr>
              <w:numPr>
                <w:ilvl w:val="0"/>
                <w:numId w:val="28"/>
              </w:numPr>
              <w:ind w:left="714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Cunoaşterea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noţiunilor</w:t>
            </w:r>
            <w:proofErr w:type="spellEnd"/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teoretice fundamentale</w:t>
            </w:r>
          </w:p>
          <w:p w14:paraId="580399C0" w14:textId="6B520498" w:rsidR="009D5AB2" w:rsidRPr="009D5AB2" w:rsidRDefault="009D5AB2" w:rsidP="009D5AB2">
            <w:pPr>
              <w:numPr>
                <w:ilvl w:val="0"/>
                <w:numId w:val="28"/>
              </w:numPr>
              <w:ind w:left="714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D5AB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Realizarea unui portofoliu personal </w:t>
            </w:r>
          </w:p>
        </w:tc>
      </w:tr>
    </w:tbl>
    <w:p w14:paraId="6C8A226A" w14:textId="688F2199" w:rsidR="009D5AB2" w:rsidRDefault="009D5AB2" w:rsidP="009D5AB2">
      <w:pPr>
        <w:spacing w:line="276" w:lineRule="auto"/>
        <w:rPr>
          <w:rFonts w:ascii="Calibri" w:hAnsi="Calibri" w:cs="Calibri"/>
          <w:b/>
        </w:rPr>
      </w:pPr>
    </w:p>
    <w:p w14:paraId="3AC2A724" w14:textId="206FE116" w:rsidR="009D5AB2" w:rsidRDefault="009D5AB2" w:rsidP="009D5AB2">
      <w:pPr>
        <w:spacing w:line="276" w:lineRule="auto"/>
        <w:rPr>
          <w:rFonts w:ascii="Calibri" w:hAnsi="Calibri" w:cs="Calibri"/>
          <w:b/>
        </w:rPr>
      </w:pPr>
    </w:p>
    <w:p w14:paraId="7F1AD424" w14:textId="43497066" w:rsidR="009D5AB2" w:rsidRDefault="009D5AB2" w:rsidP="009D5AB2">
      <w:pPr>
        <w:spacing w:line="276" w:lineRule="auto"/>
        <w:rPr>
          <w:rFonts w:ascii="Calibri" w:hAnsi="Calibri" w:cs="Calibri"/>
          <w:b/>
        </w:rPr>
      </w:pPr>
    </w:p>
    <w:p w14:paraId="7369D4B0" w14:textId="77777777" w:rsidR="009D5AB2" w:rsidRDefault="009D5AB2" w:rsidP="009D5AB2">
      <w:pPr>
        <w:spacing w:line="276" w:lineRule="auto"/>
        <w:rPr>
          <w:rFonts w:ascii="Calibri" w:hAnsi="Calibri" w:cs="Calibri"/>
          <w:b/>
        </w:rPr>
      </w:pPr>
    </w:p>
    <w:p w14:paraId="46A88080" w14:textId="77777777" w:rsidR="009D5AB2" w:rsidRPr="00AB51F7" w:rsidRDefault="009D5AB2" w:rsidP="009D5AB2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completării                                                                                                           Titular de disciplină</w:t>
      </w:r>
    </w:p>
    <w:p w14:paraId="49569514" w14:textId="77777777" w:rsidR="009D5AB2" w:rsidRPr="00AB51F7" w:rsidRDefault="009D5AB2" w:rsidP="009D5AB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05 februarie 2026</w:t>
      </w:r>
    </w:p>
    <w:p w14:paraId="19A1ED4B" w14:textId="77777777" w:rsidR="009D5AB2" w:rsidRPr="00AB51F7" w:rsidRDefault="009D5AB2" w:rsidP="009D5AB2">
      <w:pPr>
        <w:rPr>
          <w:rFonts w:ascii="Calibri" w:eastAsia="Calibri" w:hAnsi="Calibri" w:cs="Calibri"/>
        </w:rPr>
      </w:pPr>
    </w:p>
    <w:p w14:paraId="74192598" w14:textId="77777777" w:rsidR="009D5AB2" w:rsidRPr="00AB51F7" w:rsidRDefault="009D5AB2" w:rsidP="009D5AB2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avizării în departament                                                                            Director de departament</w:t>
      </w:r>
    </w:p>
    <w:p w14:paraId="16A9139B" w14:textId="77777777" w:rsidR="009D5AB2" w:rsidRDefault="009D5AB2" w:rsidP="009D5AB2">
      <w:pPr>
        <w:spacing w:line="276" w:lineRule="auto"/>
        <w:rPr>
          <w:rFonts w:ascii="Calibri" w:hAnsi="Calibri" w:cs="Calibri"/>
          <w:b/>
        </w:rPr>
      </w:pPr>
    </w:p>
    <w:p w14:paraId="36DE7398" w14:textId="77777777" w:rsidR="009D5AB2" w:rsidRPr="009D5AB2" w:rsidRDefault="009D5AB2" w:rsidP="009D5AB2">
      <w:pPr>
        <w:spacing w:line="276" w:lineRule="auto"/>
        <w:rPr>
          <w:rFonts w:ascii="Calibri" w:hAnsi="Calibri" w:cs="Calibri"/>
          <w:b/>
        </w:rPr>
      </w:pPr>
    </w:p>
    <w:sectPr w:rsidR="009D5AB2" w:rsidRPr="009D5AB2" w:rsidSect="009073A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14" w:right="1134" w:bottom="1418" w:left="1418" w:header="289" w:footer="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49E89" w14:textId="77777777" w:rsidR="003F601C" w:rsidRDefault="003F601C" w:rsidP="003E226A">
      <w:r>
        <w:separator/>
      </w:r>
    </w:p>
  </w:endnote>
  <w:endnote w:type="continuationSeparator" w:id="0">
    <w:p w14:paraId="537AE91D" w14:textId="77777777" w:rsidR="003F601C" w:rsidRDefault="003F601C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AF010" w14:textId="77777777" w:rsidR="003F601C" w:rsidRDefault="003F601C" w:rsidP="003E226A">
      <w:r>
        <w:separator/>
      </w:r>
    </w:p>
  </w:footnote>
  <w:footnote w:type="continuationSeparator" w:id="0">
    <w:p w14:paraId="7B28CF33" w14:textId="77777777" w:rsidR="003F601C" w:rsidRDefault="003F601C" w:rsidP="003E226A">
      <w:r>
        <w:continuationSeparator/>
      </w:r>
    </w:p>
  </w:footnote>
  <w:footnote w:id="1">
    <w:p w14:paraId="3946D39D" w14:textId="0913AE0F" w:rsidR="009D5AB2" w:rsidRDefault="009D5AB2" w:rsidP="00A80917">
      <w:pPr>
        <w:pStyle w:val="Textnotdesubsol"/>
        <w:jc w:val="both"/>
      </w:pPr>
      <w:r>
        <w:rPr>
          <w:rStyle w:val="Referinnotdesubsol"/>
        </w:rPr>
        <w:footnoteRef/>
      </w:r>
      <w:r>
        <w:t xml:space="preserve"> Conform articolului 37, alineatul (1) din Legea învățământului superior nr. 199/2023, cu modificările și completările ulterioare, </w:t>
      </w:r>
      <w:r w:rsidRPr="00B81075">
        <w:rPr>
          <w:i/>
          <w:iCs/>
        </w:rPr>
        <w:t xml:space="preserve">„succesul academic al unui student pe parcursul unui program de studii este determinat prin </w:t>
      </w:r>
      <w:r w:rsidRPr="00B81075">
        <w:rPr>
          <w:b/>
          <w:bCs/>
          <w:i/>
          <w:iCs/>
        </w:rPr>
        <w:t>verificarea dobândirii rezultatelor așteptate ale învățării prin evaluări de tip examen și prin evaluarea pe parcurs</w:t>
      </w:r>
      <w:r w:rsidRPr="00B81075">
        <w:rPr>
          <w:i/>
          <w:iCs/>
        </w:rPr>
        <w:t>”</w:t>
      </w:r>
      <w:r w:rsidRPr="00B81075">
        <w:t>.</w:t>
      </w:r>
    </w:p>
  </w:footnote>
  <w:footnote w:id="2">
    <w:p w14:paraId="2B40C086" w14:textId="50D1CB7D" w:rsidR="00A80917" w:rsidRPr="009D5AB2" w:rsidRDefault="00A80917" w:rsidP="00A80917">
      <w:pPr>
        <w:pStyle w:val="Textnotdesubsol"/>
        <w:jc w:val="both"/>
      </w:pPr>
      <w:r w:rsidRPr="009D5AB2">
        <w:rPr>
          <w:rStyle w:val="Referinnotdesubsol"/>
        </w:rPr>
        <w:footnoteRef/>
      </w:r>
      <w:r w:rsidRPr="009D5AB2">
        <w:t xml:space="preserve"> Se va avea în vedere corelarea numărului total de ore didactice și de studiu individual cu numărul de credite alocat disciplinei. 1 credit = între 25 și 30 de ore de activități didactice și de studiu individual. </w:t>
      </w:r>
      <w:r w:rsidR="004C17B5" w:rsidRPr="009D5AB2">
        <w:t>La nivelul departamentelor didactice se</w:t>
      </w:r>
      <w:r w:rsidRPr="009D5AB2">
        <w:t xml:space="preserve"> po</w:t>
      </w:r>
      <w:r w:rsidR="004C17B5" w:rsidRPr="009D5AB2">
        <w:t>a</w:t>
      </w:r>
      <w:r w:rsidRPr="009D5AB2">
        <w:t>t</w:t>
      </w:r>
      <w:r w:rsidR="004C17B5" w:rsidRPr="009D5AB2">
        <w:t>e</w:t>
      </w:r>
      <w:r w:rsidRPr="009D5AB2">
        <w:t xml:space="preserve"> stabili, pe categorii de discipline, echivalența exactă dintre un credit și numărul de ore.</w:t>
      </w:r>
    </w:p>
  </w:footnote>
  <w:footnote w:id="3">
    <w:p w14:paraId="0403CCFA" w14:textId="42C89506" w:rsidR="00A80917" w:rsidRPr="009D5AB2" w:rsidRDefault="00A80917" w:rsidP="00A80917">
      <w:pPr>
        <w:pStyle w:val="Textnotdesubsol"/>
        <w:jc w:val="both"/>
      </w:pPr>
      <w:r w:rsidRPr="009D5AB2">
        <w:rPr>
          <w:rStyle w:val="Referinnotdesubsol"/>
        </w:rPr>
        <w:footnoteRef/>
      </w:r>
      <w:r w:rsidRPr="009D5AB2">
        <w:t xml:space="preserve"> Orele aferente examinărilor se adună doar la punctul 3.8 – Total ore pe semestru, nu și la punctul 3.7 – Total ore de studiu individual.</w:t>
      </w:r>
    </w:p>
  </w:footnote>
  <w:footnote w:id="4">
    <w:p w14:paraId="26BBE2E6" w14:textId="451C5EC3" w:rsidR="00A80917" w:rsidRDefault="00A80917" w:rsidP="006422F4">
      <w:pPr>
        <w:pStyle w:val="Textnotdesubsol"/>
        <w:jc w:val="both"/>
      </w:pPr>
      <w:r w:rsidRPr="009D5AB2">
        <w:rPr>
          <w:rStyle w:val="Referinnotdesubsol"/>
        </w:rPr>
        <w:footnoteRef/>
      </w:r>
      <w:r w:rsidRPr="009D5AB2">
        <w:t xml:space="preserve"> Total ore pe semestru = </w:t>
      </w:r>
      <w:r w:rsidR="006445E5" w:rsidRPr="009D5AB2">
        <w:t>total ore din planul de învățământ</w:t>
      </w:r>
      <w:r w:rsidRPr="009D5AB2">
        <w:t xml:space="preserve"> + total ore studiu individual + ore alocate examinărilor.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52889598"/>
  <w:bookmarkStart w:id="1" w:name="_Hlk52889599"/>
  <w:bookmarkStart w:id="2" w:name="_Hlk52889616"/>
  <w:bookmarkStart w:id="3" w:name="_Hlk52889617"/>
  <w:p w14:paraId="504F025B" w14:textId="34E56259" w:rsidR="001D34E8" w:rsidRDefault="00AB07CD" w:rsidP="00802D13">
    <w:pPr>
      <w:pStyle w:val="Antet"/>
      <w:tabs>
        <w:tab w:val="clear" w:pos="4536"/>
        <w:tab w:val="clear" w:pos="9072"/>
      </w:tabs>
      <w:ind w:right="-15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4E304C67">
              <wp:simplePos x="0" y="0"/>
              <wp:positionH relativeFrom="column">
                <wp:posOffset>1812290</wp:posOffset>
              </wp:positionH>
              <wp:positionV relativeFrom="paragraph">
                <wp:posOffset>306251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166C9F8A" w:rsidR="001D34E8" w:rsidRPr="007A49D1" w:rsidRDefault="00884B42" w:rsidP="007A49D1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 w:rsidR="00301AAB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24.1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" stroked="f">
              <v:path arrowok="t"/>
              <v:textbox>
                <w:txbxContent>
                  <w:p w14:paraId="4B19B769" w14:textId="166C9F8A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  <w:r w:rsidR="00301AAB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802D13">
      <w:rPr>
        <w:noProof/>
      </w:rPr>
      <w:drawing>
        <wp:anchor distT="0" distB="0" distL="114300" distR="114300" simplePos="0" relativeHeight="251693056" behindDoc="0" locked="0" layoutInCell="1" allowOverlap="1" wp14:anchorId="4A5C2894" wp14:editId="45C29E75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D263C"/>
    <w:multiLevelType w:val="hybridMultilevel"/>
    <w:tmpl w:val="06D09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231353">
    <w:abstractNumId w:val="24"/>
  </w:num>
  <w:num w:numId="2" w16cid:durableId="1631402037">
    <w:abstractNumId w:val="0"/>
  </w:num>
  <w:num w:numId="3" w16cid:durableId="1564024254">
    <w:abstractNumId w:val="12"/>
  </w:num>
  <w:num w:numId="4" w16cid:durableId="315188888">
    <w:abstractNumId w:val="7"/>
  </w:num>
  <w:num w:numId="5" w16cid:durableId="663826840">
    <w:abstractNumId w:val="27"/>
  </w:num>
  <w:num w:numId="6" w16cid:durableId="1052537835">
    <w:abstractNumId w:val="13"/>
  </w:num>
  <w:num w:numId="7" w16cid:durableId="2037467374">
    <w:abstractNumId w:val="8"/>
  </w:num>
  <w:num w:numId="8" w16cid:durableId="855777102">
    <w:abstractNumId w:val="5"/>
  </w:num>
  <w:num w:numId="9" w16cid:durableId="497115892">
    <w:abstractNumId w:val="19"/>
  </w:num>
  <w:num w:numId="10" w16cid:durableId="2122648844">
    <w:abstractNumId w:val="17"/>
  </w:num>
  <w:num w:numId="11" w16cid:durableId="2019305689">
    <w:abstractNumId w:val="14"/>
  </w:num>
  <w:num w:numId="12" w16cid:durableId="139537160">
    <w:abstractNumId w:val="10"/>
  </w:num>
  <w:num w:numId="13" w16cid:durableId="1335523931">
    <w:abstractNumId w:val="25"/>
  </w:num>
  <w:num w:numId="14" w16cid:durableId="1429738271">
    <w:abstractNumId w:val="3"/>
  </w:num>
  <w:num w:numId="15" w16cid:durableId="1197622554">
    <w:abstractNumId w:val="11"/>
  </w:num>
  <w:num w:numId="16" w16cid:durableId="332876206">
    <w:abstractNumId w:val="21"/>
  </w:num>
  <w:num w:numId="17" w16cid:durableId="658924940">
    <w:abstractNumId w:val="29"/>
  </w:num>
  <w:num w:numId="18" w16cid:durableId="360520541">
    <w:abstractNumId w:val="9"/>
  </w:num>
  <w:num w:numId="19" w16cid:durableId="518932459">
    <w:abstractNumId w:val="4"/>
  </w:num>
  <w:num w:numId="20" w16cid:durableId="1031296711">
    <w:abstractNumId w:val="15"/>
  </w:num>
  <w:num w:numId="21" w16cid:durableId="212740602">
    <w:abstractNumId w:val="23"/>
  </w:num>
  <w:num w:numId="22" w16cid:durableId="31853020">
    <w:abstractNumId w:val="28"/>
  </w:num>
  <w:num w:numId="23" w16cid:durableId="1081483296">
    <w:abstractNumId w:val="18"/>
  </w:num>
  <w:num w:numId="24" w16cid:durableId="107235630">
    <w:abstractNumId w:val="26"/>
  </w:num>
  <w:num w:numId="25" w16cid:durableId="1161626144">
    <w:abstractNumId w:val="30"/>
  </w:num>
  <w:num w:numId="26" w16cid:durableId="2085685137">
    <w:abstractNumId w:val="2"/>
  </w:num>
  <w:num w:numId="27" w16cid:durableId="788091308">
    <w:abstractNumId w:val="20"/>
  </w:num>
  <w:num w:numId="28" w16cid:durableId="950628588">
    <w:abstractNumId w:val="22"/>
  </w:num>
  <w:num w:numId="29" w16cid:durableId="173810491">
    <w:abstractNumId w:val="6"/>
  </w:num>
  <w:num w:numId="30" w16cid:durableId="2013988480">
    <w:abstractNumId w:val="1"/>
  </w:num>
  <w:num w:numId="31" w16cid:durableId="1822055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7556"/>
    <w:rsid w:val="00027099"/>
    <w:rsid w:val="00032DAB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025F"/>
    <w:rsid w:val="00095FBB"/>
    <w:rsid w:val="0009720E"/>
    <w:rsid w:val="000A03D0"/>
    <w:rsid w:val="000A4C02"/>
    <w:rsid w:val="000A7066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45D1B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0079"/>
    <w:rsid w:val="001C7CDD"/>
    <w:rsid w:val="001D34E8"/>
    <w:rsid w:val="001D564A"/>
    <w:rsid w:val="001E2FEE"/>
    <w:rsid w:val="001E5ED5"/>
    <w:rsid w:val="001E69C6"/>
    <w:rsid w:val="001F0D15"/>
    <w:rsid w:val="001F5BE0"/>
    <w:rsid w:val="00201477"/>
    <w:rsid w:val="00205AE4"/>
    <w:rsid w:val="002151BA"/>
    <w:rsid w:val="002415BB"/>
    <w:rsid w:val="00242267"/>
    <w:rsid w:val="00242472"/>
    <w:rsid w:val="0024351A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112C"/>
    <w:rsid w:val="002D2F0E"/>
    <w:rsid w:val="002D3D67"/>
    <w:rsid w:val="002E0EBF"/>
    <w:rsid w:val="002E4EA3"/>
    <w:rsid w:val="00301AAB"/>
    <w:rsid w:val="003050F3"/>
    <w:rsid w:val="003147A3"/>
    <w:rsid w:val="00323381"/>
    <w:rsid w:val="00323F19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34C1"/>
    <w:rsid w:val="003B35A4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01C"/>
    <w:rsid w:val="003F6684"/>
    <w:rsid w:val="003F6BE0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23C5"/>
    <w:rsid w:val="004943E4"/>
    <w:rsid w:val="00495AFA"/>
    <w:rsid w:val="004A2A78"/>
    <w:rsid w:val="004B273C"/>
    <w:rsid w:val="004B41EA"/>
    <w:rsid w:val="004C17B5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0990"/>
    <w:rsid w:val="00514EE5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5F7515"/>
    <w:rsid w:val="00601B39"/>
    <w:rsid w:val="00604AC4"/>
    <w:rsid w:val="0061131E"/>
    <w:rsid w:val="0061141E"/>
    <w:rsid w:val="006134BF"/>
    <w:rsid w:val="0061626D"/>
    <w:rsid w:val="00622927"/>
    <w:rsid w:val="00630F7B"/>
    <w:rsid w:val="00631B5E"/>
    <w:rsid w:val="00634D14"/>
    <w:rsid w:val="00634DA4"/>
    <w:rsid w:val="00634F07"/>
    <w:rsid w:val="00641655"/>
    <w:rsid w:val="006422F4"/>
    <w:rsid w:val="006445E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75A4C"/>
    <w:rsid w:val="00680316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A7DE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05C1A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1323"/>
    <w:rsid w:val="008D440F"/>
    <w:rsid w:val="008D77C9"/>
    <w:rsid w:val="008E1A87"/>
    <w:rsid w:val="008F1E09"/>
    <w:rsid w:val="009073AF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4402B"/>
    <w:rsid w:val="00952500"/>
    <w:rsid w:val="00952E4A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D5AB2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0C71"/>
    <w:rsid w:val="00A35F5F"/>
    <w:rsid w:val="00A36DFB"/>
    <w:rsid w:val="00A431E1"/>
    <w:rsid w:val="00A54611"/>
    <w:rsid w:val="00A5694F"/>
    <w:rsid w:val="00A575C7"/>
    <w:rsid w:val="00A64EFC"/>
    <w:rsid w:val="00A6567D"/>
    <w:rsid w:val="00A76002"/>
    <w:rsid w:val="00A80917"/>
    <w:rsid w:val="00A85221"/>
    <w:rsid w:val="00A918A2"/>
    <w:rsid w:val="00A91AD6"/>
    <w:rsid w:val="00AA12EE"/>
    <w:rsid w:val="00AB07CD"/>
    <w:rsid w:val="00AB1520"/>
    <w:rsid w:val="00AB35C8"/>
    <w:rsid w:val="00AB51F7"/>
    <w:rsid w:val="00AC1C05"/>
    <w:rsid w:val="00AC6D5B"/>
    <w:rsid w:val="00AE0BA9"/>
    <w:rsid w:val="00AE1752"/>
    <w:rsid w:val="00B0274C"/>
    <w:rsid w:val="00B02961"/>
    <w:rsid w:val="00B1090A"/>
    <w:rsid w:val="00B1313E"/>
    <w:rsid w:val="00B177A0"/>
    <w:rsid w:val="00B338DA"/>
    <w:rsid w:val="00B4122C"/>
    <w:rsid w:val="00B418AC"/>
    <w:rsid w:val="00B447E7"/>
    <w:rsid w:val="00B45DA8"/>
    <w:rsid w:val="00B46A70"/>
    <w:rsid w:val="00B4785A"/>
    <w:rsid w:val="00B553C7"/>
    <w:rsid w:val="00B66CD7"/>
    <w:rsid w:val="00B66D4A"/>
    <w:rsid w:val="00B81075"/>
    <w:rsid w:val="00B814D7"/>
    <w:rsid w:val="00B839FF"/>
    <w:rsid w:val="00B843A7"/>
    <w:rsid w:val="00B8618E"/>
    <w:rsid w:val="00BA67CE"/>
    <w:rsid w:val="00BB26E4"/>
    <w:rsid w:val="00BB53A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D7DED"/>
    <w:rsid w:val="00DF6E13"/>
    <w:rsid w:val="00E0255D"/>
    <w:rsid w:val="00E034CD"/>
    <w:rsid w:val="00E03DFB"/>
    <w:rsid w:val="00E05920"/>
    <w:rsid w:val="00E067E3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2465"/>
    <w:rsid w:val="00E639E7"/>
    <w:rsid w:val="00E650E1"/>
    <w:rsid w:val="00E70432"/>
    <w:rsid w:val="00E70CB2"/>
    <w:rsid w:val="00E86101"/>
    <w:rsid w:val="00E95C82"/>
    <w:rsid w:val="00EA206E"/>
    <w:rsid w:val="00EB1C7D"/>
    <w:rsid w:val="00EB5DD1"/>
    <w:rsid w:val="00ED3929"/>
    <w:rsid w:val="00ED41E4"/>
    <w:rsid w:val="00ED6644"/>
    <w:rsid w:val="00EE36C5"/>
    <w:rsid w:val="00EF1163"/>
    <w:rsid w:val="00EF1A98"/>
    <w:rsid w:val="00EF3D5A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A5BEB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MeniuneNerezolvat">
    <w:name w:val="Unresolved Mention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styleId="HyperlinkParcurs">
    <w:name w:val="FollowedHyperlink"/>
    <w:basedOn w:val="Fontdeparagrafimplicit"/>
    <w:uiPriority w:val="99"/>
    <w:semiHidden/>
    <w:unhideWhenUsed/>
    <w:rsid w:val="005109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A1ABBE-3DB5-4741-993D-4DD20359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1101</Words>
  <Characters>6386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Nr</vt:lpstr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Nadolu</dc:creator>
  <cp:lastModifiedBy>Simona Dabu</cp:lastModifiedBy>
  <cp:revision>5</cp:revision>
  <cp:lastPrinted>2026-02-10T18:29:00Z</cp:lastPrinted>
  <dcterms:created xsi:type="dcterms:W3CDTF">2026-02-05T13:37:00Z</dcterms:created>
  <dcterms:modified xsi:type="dcterms:W3CDTF">2026-02-10T18:29:00Z</dcterms:modified>
</cp:coreProperties>
</file>